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373052176"/>
        <w:docPartObj>
          <w:docPartGallery w:val="Cover Pages"/>
          <w:docPartUnique/>
        </w:docPartObj>
      </w:sdtPr>
      <w:sdtEndPr>
        <w:rPr>
          <w:sz w:val="26"/>
          <w:szCs w:val="26"/>
        </w:rPr>
      </w:sdtEndPr>
      <w:sdtContent>
        <w:p w14:paraId="242098FA" w14:textId="41AB9625" w:rsidR="00E10A0A" w:rsidRDefault="008C1667" w:rsidP="00E10A0A">
          <w:r>
            <w:rPr>
              <w:noProof/>
              <w:lang w:val="en-GB" w:eastAsia="en-GB"/>
            </w:rPr>
            <mc:AlternateContent>
              <mc:Choice Requires="wpg">
                <w:drawing>
                  <wp:anchor distT="0" distB="0" distL="114300" distR="114300" simplePos="0" relativeHeight="251498496" behindDoc="0" locked="0" layoutInCell="1" allowOverlap="1" wp14:anchorId="79C17C98" wp14:editId="331E9B3D">
                    <wp:simplePos x="0" y="0"/>
                    <wp:positionH relativeFrom="page">
                      <wp:posOffset>4526586</wp:posOffset>
                    </wp:positionH>
                    <wp:positionV relativeFrom="page">
                      <wp:posOffset>0</wp:posOffset>
                    </wp:positionV>
                    <wp:extent cx="3209722" cy="10690144"/>
                    <wp:effectExtent l="0" t="0" r="0" b="0"/>
                    <wp:wrapNone/>
                    <wp:docPr id="453" name="Group 453"/>
                    <wp:cNvGraphicFramePr/>
                    <a:graphic xmlns:a="http://schemas.openxmlformats.org/drawingml/2006/main">
                      <a:graphicData uri="http://schemas.microsoft.com/office/word/2010/wordprocessingGroup">
                        <wpg:wgp>
                          <wpg:cNvGrpSpPr/>
                          <wpg:grpSpPr>
                            <a:xfrm>
                              <a:off x="0" y="0"/>
                              <a:ext cx="3209722" cy="10690144"/>
                              <a:chOff x="13854" y="0"/>
                              <a:chExt cx="3209995" cy="10058400"/>
                            </a:xfrm>
                          </wpg:grpSpPr>
                          <wps:wsp>
                            <wps:cNvPr id="459" name="Rectangle 459" descr="Light vertical"/>
                            <wps:cNvSpPr>
                              <a:spLocks noChangeArrowheads="1"/>
                            </wps:cNvSpPr>
                            <wps:spPr bwMode="auto">
                              <a:xfrm>
                                <a:off x="113481" y="0"/>
                                <a:ext cx="138545" cy="10058400"/>
                              </a:xfrm>
                              <a:prstGeom prst="rect">
                                <a:avLst/>
                              </a:prstGeom>
                              <a:pattFill prst="dkVert">
                                <a:fgClr>
                                  <a:schemeClr val="accent5">
                                    <a:lumMod val="5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252036" y="0"/>
                                <a:ext cx="2971800" cy="10058400"/>
                              </a:xfrm>
                              <a:prstGeom prst="rect">
                                <a:avLst/>
                              </a:prstGeom>
                              <a:solidFill>
                                <a:schemeClr val="accent1">
                                  <a:lumMod val="5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cs="Times New Roman"/>
                                      <w:color w:val="FFFFFF" w:themeColor="background1"/>
                                      <w:sz w:val="44"/>
                                      <w:szCs w:val="44"/>
                                    </w:rPr>
                                    <w:alias w:val="Year"/>
                                    <w:id w:val="-1044672702"/>
                                    <w:dataBinding w:prefixMappings="xmlns:ns0='http://schemas.microsoft.com/office/2006/coverPageProps'" w:xpath="/ns0:CoverPageProperties[1]/ns0:PublishDate[1]" w:storeItemID="{55AF091B-3C7A-41E3-B477-F2FDAA23CFDA}"/>
                                    <w:date w:fullDate="2017-01-01T00:00:00Z">
                                      <w:dateFormat w:val="yyyy"/>
                                      <w:lid w:val="en-US"/>
                                      <w:storeMappedDataAs w:val="dateTime"/>
                                      <w:calendar w:val="gregorian"/>
                                    </w:date>
                                  </w:sdtPr>
                                  <w:sdtContent>
                                    <w:p w14:paraId="134871F6" w14:textId="50AEB77D" w:rsidR="00E10A0A" w:rsidRPr="008C1667" w:rsidRDefault="008C1667" w:rsidP="00E10A0A">
                                      <w:pPr>
                                        <w:pStyle w:val="NoSpacing"/>
                                        <w:rPr>
                                          <w:color w:val="FFFFFF" w:themeColor="background1"/>
                                          <w:sz w:val="44"/>
                                          <w:szCs w:val="44"/>
                                        </w:rPr>
                                      </w:pPr>
                                      <w:r w:rsidRPr="008C1667">
                                        <w:rPr>
                                          <w:rFonts w:cs="Times New Roman"/>
                                          <w:color w:val="FFFFFF" w:themeColor="background1"/>
                                          <w:sz w:val="44"/>
                                          <w:szCs w:val="44"/>
                                        </w:rPr>
                                        <w:t>2017</w:t>
                                      </w:r>
                                    </w:p>
                                  </w:sdtContent>
                                </w:sdt>
                                <w:p w14:paraId="5D48B179" w14:textId="77777777" w:rsidR="00E10A0A" w:rsidRDefault="00E10A0A" w:rsidP="00E10A0A"/>
                              </w:txbxContent>
                            </wps:txbx>
                            <wps:bodyPr rot="0" vert="horz" wrap="square" lIns="365760" tIns="182880" rIns="182880" bIns="182880" anchor="b" anchorCtr="0" upright="1">
                              <a:noAutofit/>
                            </wps:bodyPr>
                          </wps:wsp>
                          <wps:wsp>
                            <wps:cNvPr id="462" name="Rectangle 9"/>
                            <wps:cNvSpPr>
                              <a:spLocks noChangeArrowheads="1"/>
                            </wps:cNvSpPr>
                            <wps:spPr bwMode="auto">
                              <a:xfrm>
                                <a:off x="134334" y="8554752"/>
                                <a:ext cx="3089515" cy="1016783"/>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089952D3" w14:textId="5E6E3096" w:rsidR="00E10A0A" w:rsidRPr="00720431" w:rsidRDefault="008C1667" w:rsidP="00E10A0A">
                                  <w:pPr>
                                    <w:pStyle w:val="NoSpacing"/>
                                    <w:spacing w:line="360" w:lineRule="auto"/>
                                    <w:rPr>
                                      <w:color w:val="FFFFFF" w:themeColor="background1"/>
                                    </w:rPr>
                                  </w:pPr>
                                  <w:r w:rsidRPr="008C1667">
                                    <w:rPr>
                                      <w:rFonts w:ascii="Calibri" w:eastAsiaTheme="minorHAnsi" w:hAnsi="Calibri"/>
                                      <w:color w:val="FFFFFF" w:themeColor="background1"/>
                                      <w:sz w:val="28"/>
                                      <w:szCs w:val="28"/>
                                      <w:lang w:val="de-DE"/>
                                    </w:rPr>
                                    <w:t>Mag. Gregor Fischer</w:t>
                                  </w: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C17C98" id="Group 453" o:spid="_x0000_s1026" style="position:absolute;left:0;text-align:left;margin-left:356.4pt;margin-top:0;width:252.75pt;height:841.75pt;z-index:251498496;mso-position-horizontal-relative:page;mso-position-vertical-relative:page" coordorigin="138" coordsize="32099,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">
                    <v:rect id="Rectangle 459" o:spid="_x0000_s1027" alt="Light vertical" style="position:absolute;left:1134;width:1386;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" fillcolor="#205867 [1608]" stroked="f" strokecolor="white" strokeweight="1pt">
                      <v:fill r:id="rId8" o:title="" opacity="52428f" color2="white [3212]" o:opacity2="52428f" type="pattern"/>
                      <v:shadow color="#d8d8d8" offset="3pt,3pt"/>
                    </v:rect>
                    <v:rect id="Rectangle 460" o:spid="_x0000_s1028" style="position:absolute;left:2520;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" fillcolor="#243f60 [1604]" stroked="f" strokecolor="#d8d8d8"/>
                    <v:rect id="Rectangle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sdt>
                            <w:sdtPr>
                              <w:rPr>
                                <w:rFonts w:cs="Times New Roman"/>
                                <w:color w:val="FFFFFF" w:themeColor="background1"/>
                                <w:sz w:val="44"/>
                                <w:szCs w:val="44"/>
                              </w:rPr>
                              <w:alias w:val="Year"/>
                              <w:id w:val="-1044672702"/>
                              <w:dataBinding w:prefixMappings="xmlns:ns0='http://schemas.microsoft.com/office/2006/coverPageProps'" w:xpath="/ns0:CoverPageProperties[1]/ns0:PublishDate[1]" w:storeItemID="{55AF091B-3C7A-41E3-B477-F2FDAA23CFDA}"/>
                              <w:date w:fullDate="2017-01-01T00:00:00Z">
                                <w:dateFormat w:val="yyyy"/>
                                <w:lid w:val="en-US"/>
                                <w:storeMappedDataAs w:val="dateTime"/>
                                <w:calendar w:val="gregorian"/>
                              </w:date>
                            </w:sdtPr>
                            <w:sdtContent>
                              <w:p w14:paraId="134871F6" w14:textId="50AEB77D" w:rsidR="00E10A0A" w:rsidRPr="008C1667" w:rsidRDefault="008C1667" w:rsidP="00E10A0A">
                                <w:pPr>
                                  <w:pStyle w:val="NoSpacing"/>
                                  <w:rPr>
                                    <w:color w:val="FFFFFF" w:themeColor="background1"/>
                                    <w:sz w:val="44"/>
                                    <w:szCs w:val="44"/>
                                  </w:rPr>
                                </w:pPr>
                                <w:r w:rsidRPr="008C1667">
                                  <w:rPr>
                                    <w:rFonts w:cs="Times New Roman"/>
                                    <w:color w:val="FFFFFF" w:themeColor="background1"/>
                                    <w:sz w:val="44"/>
                                    <w:szCs w:val="44"/>
                                  </w:rPr>
                                  <w:t>2017</w:t>
                                </w:r>
                              </w:p>
                            </w:sdtContent>
                          </w:sdt>
                          <w:p w14:paraId="5D48B179" w14:textId="77777777" w:rsidR="00E10A0A" w:rsidRDefault="00E10A0A" w:rsidP="00E10A0A"/>
                        </w:txbxContent>
                      </v:textbox>
                    </v:rect>
                    <v:rect id="Rectangle 9" o:spid="_x0000_s1030" style="position:absolute;left:1343;top:85547;width:30895;height:1016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p w14:paraId="089952D3" w14:textId="5E6E3096" w:rsidR="00E10A0A" w:rsidRPr="00720431" w:rsidRDefault="008C1667" w:rsidP="00E10A0A">
                            <w:pPr>
                              <w:pStyle w:val="NoSpacing"/>
                              <w:spacing w:line="360" w:lineRule="auto"/>
                              <w:rPr>
                                <w:color w:val="FFFFFF" w:themeColor="background1"/>
                              </w:rPr>
                            </w:pPr>
                            <w:r w:rsidRPr="008C1667">
                              <w:rPr>
                                <w:rFonts w:ascii="Calibri" w:eastAsiaTheme="minorHAnsi" w:hAnsi="Calibri"/>
                                <w:color w:val="FFFFFF" w:themeColor="background1"/>
                                <w:sz w:val="28"/>
                                <w:szCs w:val="28"/>
                                <w:lang w:val="de-DE"/>
                              </w:rPr>
                              <w:t>Mag. Gregor Fischer</w:t>
                            </w:r>
                          </w:p>
                        </w:txbxContent>
                      </v:textbox>
                    </v:rect>
                    <w10:wrap anchorx="page" anchory="page"/>
                  </v:group>
                </w:pict>
              </mc:Fallback>
            </mc:AlternateContent>
          </w:r>
          <w:r w:rsidR="00E10A0A">
            <w:rPr>
              <w:noProof/>
              <w:lang w:val="en-GB" w:eastAsia="en-GB"/>
            </w:rPr>
            <w:drawing>
              <wp:anchor distT="0" distB="0" distL="114300" distR="114300" simplePos="0" relativeHeight="251534336" behindDoc="0" locked="0" layoutInCell="1" allowOverlap="1" wp14:anchorId="4670975B" wp14:editId="6EABE646">
                <wp:simplePos x="0" y="0"/>
                <wp:positionH relativeFrom="column">
                  <wp:posOffset>-40005</wp:posOffset>
                </wp:positionH>
                <wp:positionV relativeFrom="paragraph">
                  <wp:posOffset>0</wp:posOffset>
                </wp:positionV>
                <wp:extent cx="762000" cy="528955"/>
                <wp:effectExtent l="0" t="0" r="0" b="4445"/>
                <wp:wrapSquare wrapText="bothSides"/>
                <wp:docPr id="1073741832" name="officeArt object" descr="EASPD_LOGO_IMPROVING_SLOGAN_GIF_transparent.gif"/>
                <wp:cNvGraphicFramePr/>
                <a:graphic xmlns:a="http://schemas.openxmlformats.org/drawingml/2006/main">
                  <a:graphicData uri="http://schemas.openxmlformats.org/drawingml/2006/picture">
                    <pic:pic xmlns:pic="http://schemas.openxmlformats.org/drawingml/2006/picture">
                      <pic:nvPicPr>
                        <pic:cNvPr id="1073741832" name="officeArt object" descr="EASPD_LOGO_IMPROVING_SLOGAN_GIF_transparent.gif"/>
                        <pic:cNvPicPr/>
                      </pic:nvPicPr>
                      <pic:blipFill>
                        <a:blip r:embed="rId9" cstate="print">
                          <a:extLst>
                            <a:ext uri="{28A0092B-C50C-407E-A947-70E740481C1C}">
                              <a14:useLocalDpi xmlns:a14="http://schemas.microsoft.com/office/drawing/2010/main" val="0"/>
                            </a:ext>
                          </a:extLst>
                        </a:blip>
                        <a:srcRect t="13041" b="12790"/>
                        <a:stretch>
                          <a:fillRect/>
                        </a:stretch>
                      </pic:blipFill>
                      <pic:spPr>
                        <a:xfrm>
                          <a:off x="0" y="0"/>
                          <a:ext cx="762000" cy="52895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11997029" w14:textId="6B335F01" w:rsidR="00E10A0A" w:rsidRDefault="008C1667" w:rsidP="00E10A0A">
          <w:pPr>
            <w:rPr>
              <w:rFonts w:asciiTheme="majorHAnsi" w:eastAsiaTheme="majorEastAsia" w:hAnsiTheme="majorHAnsi" w:cstheme="majorBidi"/>
              <w:color w:val="365F91" w:themeColor="accent1" w:themeShade="BF"/>
              <w:sz w:val="26"/>
              <w:szCs w:val="26"/>
            </w:rPr>
          </w:pPr>
          <w:r w:rsidRPr="001D2BA4">
            <w:rPr>
              <w:noProof/>
              <w:sz w:val="26"/>
              <w:szCs w:val="26"/>
              <w:lang w:val="en-GB" w:eastAsia="en-GB"/>
            </w:rPr>
            <w:drawing>
              <wp:anchor distT="0" distB="0" distL="114300" distR="114300" simplePos="0" relativeHeight="251531264" behindDoc="0" locked="0" layoutInCell="1" allowOverlap="1" wp14:anchorId="3A1A1F0E" wp14:editId="72777D91">
                <wp:simplePos x="0" y="0"/>
                <wp:positionH relativeFrom="column">
                  <wp:posOffset>-372110</wp:posOffset>
                </wp:positionH>
                <wp:positionV relativeFrom="paragraph">
                  <wp:posOffset>4035425</wp:posOffset>
                </wp:positionV>
                <wp:extent cx="5131435" cy="3507740"/>
                <wp:effectExtent l="0" t="0" r="0" b="0"/>
                <wp:wrapSquare wrapText="bothSides"/>
                <wp:docPr id="1" name="Picture 1" descr="P:\Pictures\UsefulPictures\20th anniversary\All candidates\56 - Age of Wisdom &amp; Madn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ictures\UsefulPictures\20th anniversary\All candidates\56 - Age of Wisdom &amp; Madness.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0199"/>
                        <a:stretch/>
                      </pic:blipFill>
                      <pic:spPr bwMode="auto">
                        <a:xfrm>
                          <a:off x="0" y="0"/>
                          <a:ext cx="5131435" cy="3507740"/>
                        </a:xfrm>
                        <a:prstGeom prst="rect">
                          <a:avLst/>
                        </a:prstGeom>
                        <a:noFill/>
                        <a:ln>
                          <a:noFill/>
                        </a:ln>
                        <a:effectLst>
                          <a:softEdge rad="1270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GB" w:eastAsia="en-GB"/>
            </w:rPr>
            <mc:AlternateContent>
              <mc:Choice Requires="wps">
                <w:drawing>
                  <wp:anchor distT="0" distB="0" distL="114300" distR="114300" simplePos="0" relativeHeight="251514880" behindDoc="0" locked="0" layoutInCell="0" allowOverlap="1" wp14:anchorId="207B37BD" wp14:editId="60891331">
                    <wp:simplePos x="0" y="0"/>
                    <wp:positionH relativeFrom="page">
                      <wp:posOffset>0</wp:posOffset>
                    </wp:positionH>
                    <wp:positionV relativeFrom="page">
                      <wp:posOffset>2476500</wp:posOffset>
                    </wp:positionV>
                    <wp:extent cx="6748780" cy="2438400"/>
                    <wp:effectExtent l="0" t="0" r="0" b="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8780" cy="2438400"/>
                            </a:xfrm>
                            <a:prstGeom prst="rect">
                              <a:avLst/>
                            </a:prstGeom>
                            <a:solidFill>
                              <a:schemeClr val="accent1">
                                <a:lumMod val="40000"/>
                                <a:lumOff val="60000"/>
                              </a:schemeClr>
                            </a:solidFill>
                            <a:ln w="19050">
                              <a:noFill/>
                              <a:miter lim="800000"/>
                              <a:headEnd/>
                              <a:tailEnd/>
                            </a:ln>
                            <a:effectLst/>
                          </wps:spPr>
                          <wps:txbx>
                            <w:txbxContent>
                              <w:p w14:paraId="0EF79DD2" w14:textId="77777777" w:rsidR="008C1667" w:rsidRPr="008C1667" w:rsidRDefault="001679B1" w:rsidP="001C52C8">
                                <w:pPr>
                                  <w:pStyle w:val="NoSpacing"/>
                                  <w:spacing w:after="240"/>
                                  <w:jc w:val="right"/>
                                  <w:rPr>
                                    <w:sz w:val="72"/>
                                    <w:szCs w:val="72"/>
                                  </w:rPr>
                                </w:pPr>
                                <w:r w:rsidRPr="008C1667">
                                  <w:rPr>
                                    <w:sz w:val="72"/>
                                    <w:szCs w:val="72"/>
                                  </w:rPr>
                                  <w:t>Working Time Directive in Social</w:t>
                                </w:r>
                                <w:r w:rsidR="00450A2B" w:rsidRPr="008C1667">
                                  <w:rPr>
                                    <w:sz w:val="72"/>
                                    <w:szCs w:val="72"/>
                                  </w:rPr>
                                  <w:t xml:space="preserve"> Care and Support Services for P</w:t>
                                </w:r>
                                <w:r w:rsidRPr="008C1667">
                                  <w:rPr>
                                    <w:sz w:val="72"/>
                                    <w:szCs w:val="72"/>
                                  </w:rPr>
                                  <w:t xml:space="preserve">ersons with </w:t>
                                </w:r>
                                <w:r w:rsidR="00450A2B" w:rsidRPr="008C1667">
                                  <w:rPr>
                                    <w:sz w:val="72"/>
                                    <w:szCs w:val="72"/>
                                  </w:rPr>
                                  <w:t>D</w:t>
                                </w:r>
                                <w:r w:rsidRPr="008C1667">
                                  <w:rPr>
                                    <w:sz w:val="72"/>
                                    <w:szCs w:val="72"/>
                                  </w:rPr>
                                  <w:t>isabilities</w:t>
                                </w:r>
                                <w:r w:rsidR="001C52C8" w:rsidRPr="008C1667">
                                  <w:rPr>
                                    <w:sz w:val="72"/>
                                    <w:szCs w:val="72"/>
                                  </w:rPr>
                                  <w:t>:</w:t>
                                </w:r>
                                <w:r w:rsidR="00450A2B" w:rsidRPr="008C1667">
                                  <w:rPr>
                                    <w:sz w:val="72"/>
                                    <w:szCs w:val="72"/>
                                  </w:rPr>
                                  <w:t xml:space="preserve"> </w:t>
                                </w:r>
                              </w:p>
                              <w:p w14:paraId="2ADAA4DA" w14:textId="2ABF7BA8" w:rsidR="00E10A0A" w:rsidRPr="008C1667" w:rsidRDefault="00450A2B" w:rsidP="001C52C8">
                                <w:pPr>
                                  <w:pStyle w:val="NoSpacing"/>
                                  <w:spacing w:after="240"/>
                                  <w:jc w:val="right"/>
                                  <w:rPr>
                                    <w:rFonts w:asciiTheme="majorHAnsi" w:eastAsiaTheme="majorEastAsia" w:hAnsiTheme="majorHAnsi" w:cstheme="majorBidi"/>
                                    <w:b/>
                                    <w:bCs/>
                                    <w:sz w:val="72"/>
                                    <w:szCs w:val="72"/>
                                    <w:lang w:val="de-AT"/>
                                  </w:rPr>
                                </w:pPr>
                                <w:r w:rsidRPr="008C1667">
                                  <w:rPr>
                                    <w:b/>
                                    <w:sz w:val="72"/>
                                    <w:szCs w:val="72"/>
                                  </w:rPr>
                                  <w:t>Case of Austria</w:t>
                                </w:r>
                                <w:r w:rsidR="001679B1" w:rsidRPr="008C1667">
                                  <w:rPr>
                                    <w:b/>
                                    <w:sz w:val="72"/>
                                    <w:szCs w:val="72"/>
                                  </w:rPr>
                                  <w:t xml:space="preserve"> </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7B37BD" id="Rectangle 16" o:spid="_x0000_s1031" style="position:absolute;left:0;text-align:left;margin-left:0;margin-top:195pt;width:531.4pt;height:192pt;z-index:25151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" o:allowincell="f" fillcolor="#b8cce4 [1300]" stroked="f" strokeweight="1.5pt">
                    <v:textbox inset="14.4pt,,14.4pt">
                      <w:txbxContent>
                        <w:p w14:paraId="0EF79DD2" w14:textId="77777777" w:rsidR="008C1667" w:rsidRPr="008C1667" w:rsidRDefault="001679B1" w:rsidP="001C52C8">
                          <w:pPr>
                            <w:pStyle w:val="NoSpacing"/>
                            <w:spacing w:after="240"/>
                            <w:jc w:val="right"/>
                            <w:rPr>
                              <w:sz w:val="72"/>
                              <w:szCs w:val="72"/>
                            </w:rPr>
                          </w:pPr>
                          <w:r w:rsidRPr="008C1667">
                            <w:rPr>
                              <w:sz w:val="72"/>
                              <w:szCs w:val="72"/>
                            </w:rPr>
                            <w:t>Working Time Directive in Social</w:t>
                          </w:r>
                          <w:r w:rsidR="00450A2B" w:rsidRPr="008C1667">
                            <w:rPr>
                              <w:sz w:val="72"/>
                              <w:szCs w:val="72"/>
                            </w:rPr>
                            <w:t xml:space="preserve"> Care and Support Services for P</w:t>
                          </w:r>
                          <w:r w:rsidRPr="008C1667">
                            <w:rPr>
                              <w:sz w:val="72"/>
                              <w:szCs w:val="72"/>
                            </w:rPr>
                            <w:t xml:space="preserve">ersons with </w:t>
                          </w:r>
                          <w:r w:rsidR="00450A2B" w:rsidRPr="008C1667">
                            <w:rPr>
                              <w:sz w:val="72"/>
                              <w:szCs w:val="72"/>
                            </w:rPr>
                            <w:t>D</w:t>
                          </w:r>
                          <w:r w:rsidRPr="008C1667">
                            <w:rPr>
                              <w:sz w:val="72"/>
                              <w:szCs w:val="72"/>
                            </w:rPr>
                            <w:t>isabilities</w:t>
                          </w:r>
                          <w:r w:rsidR="001C52C8" w:rsidRPr="008C1667">
                            <w:rPr>
                              <w:sz w:val="72"/>
                              <w:szCs w:val="72"/>
                            </w:rPr>
                            <w:t>:</w:t>
                          </w:r>
                          <w:r w:rsidR="00450A2B" w:rsidRPr="008C1667">
                            <w:rPr>
                              <w:sz w:val="72"/>
                              <w:szCs w:val="72"/>
                            </w:rPr>
                            <w:t xml:space="preserve"> </w:t>
                          </w:r>
                        </w:p>
                        <w:p w14:paraId="2ADAA4DA" w14:textId="2ABF7BA8" w:rsidR="00E10A0A" w:rsidRPr="008C1667" w:rsidRDefault="00450A2B" w:rsidP="001C52C8">
                          <w:pPr>
                            <w:pStyle w:val="NoSpacing"/>
                            <w:spacing w:after="240"/>
                            <w:jc w:val="right"/>
                            <w:rPr>
                              <w:rFonts w:asciiTheme="majorHAnsi" w:eastAsiaTheme="majorEastAsia" w:hAnsiTheme="majorHAnsi" w:cstheme="majorBidi"/>
                              <w:b/>
                              <w:bCs/>
                              <w:sz w:val="72"/>
                              <w:szCs w:val="72"/>
                              <w:lang w:val="de-AT"/>
                            </w:rPr>
                          </w:pPr>
                          <w:r w:rsidRPr="008C1667">
                            <w:rPr>
                              <w:b/>
                              <w:sz w:val="72"/>
                              <w:szCs w:val="72"/>
                            </w:rPr>
                            <w:t>Case of Austria</w:t>
                          </w:r>
                          <w:r w:rsidR="001679B1" w:rsidRPr="008C1667">
                            <w:rPr>
                              <w:b/>
                              <w:sz w:val="72"/>
                              <w:szCs w:val="72"/>
                            </w:rPr>
                            <w:t xml:space="preserve"> </w:t>
                          </w:r>
                        </w:p>
                      </w:txbxContent>
                    </v:textbox>
                    <w10:wrap anchorx="page" anchory="page"/>
                  </v:rect>
                </w:pict>
              </mc:Fallback>
            </mc:AlternateContent>
          </w:r>
          <w:r w:rsidR="00E10A0A" w:rsidRPr="00720431">
            <w:rPr>
              <w:noProof/>
              <w:sz w:val="26"/>
              <w:szCs w:val="26"/>
              <w:lang w:val="en-GB" w:eastAsia="en-GB"/>
            </w:rPr>
            <mc:AlternateContent>
              <mc:Choice Requires="wps">
                <w:drawing>
                  <wp:anchor distT="45720" distB="45720" distL="114300" distR="114300" simplePos="0" relativeHeight="251536384" behindDoc="1" locked="0" layoutInCell="1" allowOverlap="1" wp14:anchorId="312EA86A" wp14:editId="7D45118B">
                    <wp:simplePos x="0" y="0"/>
                    <wp:positionH relativeFrom="column">
                      <wp:posOffset>4095750</wp:posOffset>
                    </wp:positionH>
                    <wp:positionV relativeFrom="paragraph">
                      <wp:posOffset>7155180</wp:posOffset>
                    </wp:positionV>
                    <wp:extent cx="2076450" cy="1193800"/>
                    <wp:effectExtent l="0" t="19050" r="0" b="12065"/>
                    <wp:wrapThrough wrapText="bothSides">
                      <wp:wrapPolygon edited="0">
                        <wp:start x="594" y="-9127"/>
                        <wp:lineTo x="594" y="18254"/>
                        <wp:lineTo x="20807" y="18254"/>
                        <wp:lineTo x="20807" y="-9127"/>
                        <wp:lineTo x="594" y="-9127"/>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193800"/>
                            </a:xfrm>
                            <a:prstGeom prst="rect">
                              <a:avLst/>
                            </a:prstGeom>
                            <a:noFill/>
                            <a:ln w="9525">
                              <a:noFill/>
                              <a:miter lim="800000"/>
                              <a:headEnd/>
                              <a:tailEnd/>
                            </a:ln>
                          </wps:spPr>
                          <wps:txbx>
                            <w:txbxContent>
                              <w:p w14:paraId="2DEC2BDF" w14:textId="422E9ECC" w:rsidR="00E10A0A" w:rsidRPr="00720431" w:rsidRDefault="00E10A0A" w:rsidP="00E10A0A">
                                <w:pPr>
                                  <w:spacing w:after="0" w:line="240" w:lineRule="auto"/>
                                  <w:rPr>
                                    <w:color w:val="FFFFFF" w:themeColor="background1"/>
                                    <w:sz w:val="28"/>
                                    <w:szCs w:val="28"/>
                                    <w:lang w:val="de-DE"/>
                                  </w:rPr>
                                </w:pPr>
                                <w:r w:rsidRPr="00720431">
                                  <w:rPr>
                                    <w:rFonts w:ascii="Calibri" w:hAnsi="Calibri"/>
                                    <w:color w:val="FFFFFF" w:themeColor="background1"/>
                                    <w:sz w:val="28"/>
                                    <w:szCs w:val="28"/>
                                    <w:lang w:val="de-D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2EA86A" id="_x0000_t202" coordsize="21600,21600" o:spt="202" path="m,l,21600r21600,l21600,xe">
                    <v:stroke joinstyle="miter"/>
                    <v:path gradientshapeok="t" o:connecttype="rect"/>
                  </v:shapetype>
                  <v:shape id="Text Box 2" o:spid="_x0000_s1032" type="#_x0000_t202" style="position:absolute;left:0;text-align:left;margin-left:322.5pt;margin-top:563.4pt;width:163.5pt;height:94pt;z-index:-251780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" filled="f" stroked="f">
                    <v:textbox>
                      <w:txbxContent>
                        <w:p w14:paraId="2DEC2BDF" w14:textId="422E9ECC" w:rsidR="00E10A0A" w:rsidRPr="00720431" w:rsidRDefault="00E10A0A" w:rsidP="00E10A0A">
                          <w:pPr>
                            <w:spacing w:after="0" w:line="240" w:lineRule="auto"/>
                            <w:rPr>
                              <w:color w:val="FFFFFF" w:themeColor="background1"/>
                              <w:sz w:val="28"/>
                              <w:szCs w:val="28"/>
                              <w:lang w:val="de-DE"/>
                            </w:rPr>
                          </w:pPr>
                          <w:r w:rsidRPr="00720431">
                            <w:rPr>
                              <w:rFonts w:ascii="Calibri" w:hAnsi="Calibri"/>
                              <w:color w:val="FFFFFF" w:themeColor="background1"/>
                              <w:sz w:val="28"/>
                              <w:szCs w:val="28"/>
                              <w:lang w:val="de-DE"/>
                            </w:rPr>
                            <w:t xml:space="preserve"> </w:t>
                          </w:r>
                        </w:p>
                      </w:txbxContent>
                    </v:textbox>
                    <w10:wrap type="through"/>
                  </v:shape>
                </w:pict>
              </mc:Fallback>
            </mc:AlternateContent>
          </w:r>
          <w:r w:rsidR="00E10A0A">
            <w:rPr>
              <w:sz w:val="26"/>
              <w:szCs w:val="26"/>
            </w:rPr>
            <w:br w:type="page"/>
          </w:r>
        </w:p>
      </w:sdtContent>
    </w:sdt>
    <w:p w14:paraId="55DF9060" w14:textId="3E0B538B" w:rsidR="008C1667" w:rsidRPr="008C1667" w:rsidRDefault="008C1667" w:rsidP="00C7713B">
      <w:pPr>
        <w:rPr>
          <w:rFonts w:ascii="Calibri Light" w:eastAsiaTheme="majorEastAsia" w:hAnsi="Calibri Light" w:cstheme="majorBidi"/>
          <w:b/>
          <w:bCs/>
          <w:color w:val="365F91" w:themeColor="accent1" w:themeShade="BF"/>
          <w:sz w:val="32"/>
          <w:szCs w:val="32"/>
          <w:lang w:val="en-US"/>
        </w:rPr>
      </w:pPr>
      <w:r w:rsidRPr="008C1667">
        <w:rPr>
          <w:rFonts w:ascii="Calibri Light" w:eastAsiaTheme="majorEastAsia" w:hAnsi="Calibri Light" w:cstheme="majorBidi"/>
          <w:b/>
          <w:bCs/>
          <w:color w:val="365F91" w:themeColor="accent1" w:themeShade="BF"/>
          <w:sz w:val="32"/>
          <w:szCs w:val="32"/>
          <w:lang w:val="en-US"/>
        </w:rPr>
        <w:lastRenderedPageBreak/>
        <w:t>Introduction</w:t>
      </w:r>
    </w:p>
    <w:p w14:paraId="7473BA59" w14:textId="47DDB3A3" w:rsidR="00C7713B" w:rsidRDefault="00C7713B" w:rsidP="00C7713B">
      <w:pPr>
        <w:rPr>
          <w:lang w:val="en-US"/>
        </w:rPr>
      </w:pPr>
      <w:r>
        <w:rPr>
          <w:lang w:val="en-US"/>
        </w:rPr>
        <w:t xml:space="preserve">This country report gives a brief description of the architecture of the social care and health sector and the economic and organizational conditions in which service providers in Austria operate. Subsequently, </w:t>
      </w:r>
      <w:r w:rsidR="005C5983">
        <w:rPr>
          <w:lang w:val="en-US"/>
        </w:rPr>
        <w:t xml:space="preserve">it elaborates on the </w:t>
      </w:r>
      <w:r>
        <w:rPr>
          <w:lang w:val="en-US"/>
        </w:rPr>
        <w:t xml:space="preserve">legal framework in which working time in the sector of </w:t>
      </w:r>
      <w:r w:rsidR="00812A2E">
        <w:rPr>
          <w:lang w:val="en-US"/>
        </w:rPr>
        <w:t>social care and support services (</w:t>
      </w:r>
      <w:r>
        <w:rPr>
          <w:lang w:val="en-US"/>
        </w:rPr>
        <w:t>SCSS</w:t>
      </w:r>
      <w:r w:rsidR="00812A2E">
        <w:rPr>
          <w:lang w:val="en-US"/>
        </w:rPr>
        <w:t>)</w:t>
      </w:r>
      <w:r>
        <w:rPr>
          <w:lang w:val="en-US"/>
        </w:rPr>
        <w:t xml:space="preserve"> for </w:t>
      </w:r>
      <w:r w:rsidR="00812A2E">
        <w:rPr>
          <w:lang w:val="en-US"/>
        </w:rPr>
        <w:t>persons with disabilities (PwD)</w:t>
      </w:r>
      <w:r>
        <w:rPr>
          <w:lang w:val="en-US"/>
        </w:rPr>
        <w:t xml:space="preserve"> is </w:t>
      </w:r>
      <w:r w:rsidR="005C5983">
        <w:rPr>
          <w:lang w:val="en-US"/>
        </w:rPr>
        <w:t>regulated</w:t>
      </w:r>
      <w:r>
        <w:rPr>
          <w:lang w:val="en-US"/>
        </w:rPr>
        <w:t xml:space="preserve"> in Austria and the influence of the </w:t>
      </w:r>
      <w:r w:rsidR="00812A2E">
        <w:rPr>
          <w:lang w:val="en-US"/>
        </w:rPr>
        <w:t>EU Working Time Directive (</w:t>
      </w:r>
      <w:r>
        <w:rPr>
          <w:lang w:val="en-US"/>
        </w:rPr>
        <w:t>WTD</w:t>
      </w:r>
      <w:r w:rsidR="00812A2E">
        <w:rPr>
          <w:lang w:val="en-US"/>
        </w:rPr>
        <w:t>)</w:t>
      </w:r>
      <w:bookmarkStart w:id="0" w:name="_GoBack"/>
      <w:bookmarkEnd w:id="0"/>
      <w:r w:rsidR="005C5983">
        <w:rPr>
          <w:lang w:val="en-US"/>
        </w:rPr>
        <w:t xml:space="preserve"> on the domestic norms</w:t>
      </w:r>
      <w:r>
        <w:rPr>
          <w:lang w:val="en-US"/>
        </w:rPr>
        <w:t>. It also touches upon the significance of the Austrian social partners in shaping working conditions via collective agreements. Subsequently, the results of qualitative interviews conducted with stakeholders in the sector aim to shed light on the working realities that can be found in the sector. To exemplify present confrontations and developments and to provide a comprehensive picture of the sector, scientific publications and journals are used along with news articles and statements from staff and employer representatives to make this report as comprising as possible.</w:t>
      </w:r>
    </w:p>
    <w:p w14:paraId="16C0CDDD" w14:textId="77777777" w:rsidR="00EF2CF6" w:rsidRPr="001C52C8" w:rsidRDefault="00A85A74" w:rsidP="00EF2CF6">
      <w:pPr>
        <w:pStyle w:val="Heading1"/>
        <w:jc w:val="left"/>
        <w:rPr>
          <w:rFonts w:ascii="Calibri Light" w:hAnsi="Calibri Light"/>
          <w:sz w:val="32"/>
          <w:szCs w:val="32"/>
          <w:lang w:val="en-US"/>
        </w:rPr>
      </w:pPr>
      <w:r w:rsidRPr="001C52C8">
        <w:rPr>
          <w:rFonts w:ascii="Calibri Light" w:hAnsi="Calibri Light"/>
          <w:sz w:val="32"/>
          <w:szCs w:val="32"/>
          <w:lang w:val="en-US"/>
        </w:rPr>
        <w:t xml:space="preserve">Social Care and </w:t>
      </w:r>
      <w:r w:rsidR="00BF7943" w:rsidRPr="001C52C8">
        <w:rPr>
          <w:rFonts w:ascii="Calibri Light" w:hAnsi="Calibri Light"/>
          <w:sz w:val="32"/>
          <w:szCs w:val="32"/>
          <w:lang w:val="en-US"/>
        </w:rPr>
        <w:t xml:space="preserve">Support </w:t>
      </w:r>
      <w:r w:rsidRPr="001C52C8">
        <w:rPr>
          <w:rFonts w:ascii="Calibri Light" w:hAnsi="Calibri Light"/>
          <w:sz w:val="32"/>
          <w:szCs w:val="32"/>
          <w:lang w:val="en-US"/>
        </w:rPr>
        <w:t>Services for Persons with Disabilities in Austria</w:t>
      </w:r>
    </w:p>
    <w:p w14:paraId="7DA64F8E" w14:textId="77777777" w:rsidR="00374A90" w:rsidRDefault="00374A90" w:rsidP="00374A90">
      <w:pPr>
        <w:rPr>
          <w:lang w:val="en-US"/>
        </w:rPr>
      </w:pPr>
      <w:r>
        <w:rPr>
          <w:lang w:val="en-US"/>
        </w:rPr>
        <w:t xml:space="preserve">As a starting point for this country report, it is essential to look into the legal framework in which issues of disability are embedded in Austria, </w:t>
      </w:r>
      <w:r w:rsidR="00134440">
        <w:rPr>
          <w:lang w:val="en-US"/>
        </w:rPr>
        <w:t>the functioning of the distri</w:t>
      </w:r>
      <w:r w:rsidR="00AE6126">
        <w:rPr>
          <w:lang w:val="en-US"/>
        </w:rPr>
        <w:t>bution of state support for persons with disabilities and</w:t>
      </w:r>
      <w:r w:rsidR="002F14CE">
        <w:rPr>
          <w:lang w:val="en-US"/>
        </w:rPr>
        <w:t xml:space="preserve"> the stru</w:t>
      </w:r>
      <w:r w:rsidR="0006777E">
        <w:rPr>
          <w:lang w:val="en-US"/>
        </w:rPr>
        <w:t>cture of the secto</w:t>
      </w:r>
      <w:r w:rsidR="005F0E1E">
        <w:rPr>
          <w:lang w:val="en-US"/>
        </w:rPr>
        <w:t>r.</w:t>
      </w:r>
    </w:p>
    <w:p w14:paraId="7046E43B" w14:textId="77777777" w:rsidR="00E07CBD" w:rsidRPr="001C52C8" w:rsidRDefault="00351044" w:rsidP="00E07CBD">
      <w:pPr>
        <w:pStyle w:val="Heading2"/>
        <w:rPr>
          <w:rFonts w:ascii="Calibri Light" w:hAnsi="Calibri Light"/>
          <w:lang w:val="en-US"/>
        </w:rPr>
      </w:pPr>
      <w:r w:rsidRPr="001C52C8">
        <w:rPr>
          <w:rFonts w:ascii="Calibri Light" w:hAnsi="Calibri Light"/>
          <w:lang w:val="en-US"/>
        </w:rPr>
        <w:t>“</w:t>
      </w:r>
      <w:r w:rsidR="00E07CBD" w:rsidRPr="001C52C8">
        <w:rPr>
          <w:rFonts w:ascii="Calibri Light" w:hAnsi="Calibri Light"/>
          <w:lang w:val="en-US"/>
        </w:rPr>
        <w:t>Disabilit</w:t>
      </w:r>
      <w:r w:rsidRPr="001C52C8">
        <w:rPr>
          <w:rFonts w:ascii="Calibri Light" w:hAnsi="Calibri Light"/>
          <w:lang w:val="en-US"/>
        </w:rPr>
        <w:t>y”</w:t>
      </w:r>
      <w:r w:rsidR="00E07CBD" w:rsidRPr="001C52C8">
        <w:rPr>
          <w:rFonts w:ascii="Calibri Light" w:hAnsi="Calibri Light"/>
          <w:lang w:val="en-US"/>
        </w:rPr>
        <w:t xml:space="preserve"> in Austria – Legal Term</w:t>
      </w:r>
      <w:r w:rsidR="005C5897" w:rsidRPr="001C52C8">
        <w:rPr>
          <w:rFonts w:ascii="Calibri Light" w:hAnsi="Calibri Light"/>
          <w:lang w:val="en-US"/>
        </w:rPr>
        <w:t>, Action Plan</w:t>
      </w:r>
      <w:r w:rsidR="00E07CBD" w:rsidRPr="001C52C8">
        <w:rPr>
          <w:rFonts w:ascii="Calibri Light" w:hAnsi="Calibri Light"/>
          <w:lang w:val="en-US"/>
        </w:rPr>
        <w:t xml:space="preserve"> and Statistics</w:t>
      </w:r>
    </w:p>
    <w:p w14:paraId="6AAEB021" w14:textId="6077ADE6" w:rsidR="00CE6BCF" w:rsidRDefault="00CE6BCF" w:rsidP="0084793B">
      <w:pPr>
        <w:rPr>
          <w:lang w:val="en-US"/>
        </w:rPr>
      </w:pPr>
      <w:r>
        <w:rPr>
          <w:lang w:val="en-US"/>
        </w:rPr>
        <w:t>In 2010, the</w:t>
      </w:r>
      <w:r w:rsidR="00C15DA3">
        <w:rPr>
          <w:lang w:val="en-US"/>
        </w:rPr>
        <w:t xml:space="preserve"> current</w:t>
      </w:r>
      <w:r>
        <w:rPr>
          <w:lang w:val="en-US"/>
        </w:rPr>
        <w:t xml:space="preserve"> definition of </w:t>
      </w:r>
      <w:r w:rsidR="00C15DA3">
        <w:rPr>
          <w:lang w:val="en-US"/>
        </w:rPr>
        <w:t>“</w:t>
      </w:r>
      <w:r>
        <w:rPr>
          <w:lang w:val="en-US"/>
        </w:rPr>
        <w:t>disability</w:t>
      </w:r>
      <w:r w:rsidR="00C15DA3">
        <w:rPr>
          <w:lang w:val="en-US"/>
        </w:rPr>
        <w:t>” was enshrined in law by</w:t>
      </w:r>
      <w:r>
        <w:rPr>
          <w:lang w:val="en-US"/>
        </w:rPr>
        <w:t xml:space="preserve"> §1 of the “Evaluation Regulation”</w:t>
      </w:r>
      <w:r w:rsidR="00C52382">
        <w:rPr>
          <w:lang w:val="en-US"/>
        </w:rPr>
        <w:t xml:space="preserve">, reading: </w:t>
      </w:r>
      <w:r>
        <w:rPr>
          <w:lang w:val="en-US"/>
        </w:rPr>
        <w:t>“A disability in the sense of this regulation is the effect of a non-temporary, physical, mental or psychical sensory or functional impairment that is likely to impede the participation in public life, especially in working life. Non-temporary is to be understood as a timeframe of more than six months.”</w:t>
      </w:r>
      <w:r w:rsidR="00C52382">
        <w:rPr>
          <w:rStyle w:val="FootnoteReference"/>
          <w:lang w:val="en-US"/>
        </w:rPr>
        <w:footnoteReference w:id="1"/>
      </w:r>
      <w:r w:rsidR="00C52382">
        <w:rPr>
          <w:lang w:val="en-US"/>
        </w:rPr>
        <w:t xml:space="preserve"> </w:t>
      </w:r>
      <w:r w:rsidR="00344E50">
        <w:rPr>
          <w:lang w:val="en-US"/>
        </w:rPr>
        <w:t xml:space="preserve">Accordingly, </w:t>
      </w:r>
      <w:r>
        <w:rPr>
          <w:lang w:val="en-US"/>
        </w:rPr>
        <w:t>Austrian authorities operate with a very broad understanding of “disability”</w:t>
      </w:r>
      <w:r w:rsidR="008B09A8">
        <w:rPr>
          <w:lang w:val="en-US"/>
        </w:rPr>
        <w:t xml:space="preserve"> that also includes, for example, effects of work accidents that last longer than 6 months but </w:t>
      </w:r>
      <w:r w:rsidR="0008394B">
        <w:rPr>
          <w:lang w:val="en-US"/>
        </w:rPr>
        <w:t xml:space="preserve">do not persist </w:t>
      </w:r>
      <w:r w:rsidR="00681507">
        <w:rPr>
          <w:lang w:val="en-US"/>
        </w:rPr>
        <w:t>indefinitely</w:t>
      </w:r>
      <w:r w:rsidR="00344E50">
        <w:rPr>
          <w:lang w:val="en-US"/>
        </w:rPr>
        <w:t>.</w:t>
      </w:r>
      <w:r>
        <w:rPr>
          <w:lang w:val="en-US"/>
        </w:rPr>
        <w:t xml:space="preserve"> </w:t>
      </w:r>
      <w:r w:rsidR="00344E50">
        <w:rPr>
          <w:lang w:val="en-US"/>
        </w:rPr>
        <w:t>This results</w:t>
      </w:r>
      <w:r>
        <w:rPr>
          <w:lang w:val="en-US"/>
        </w:rPr>
        <w:t xml:space="preserve"> in a percentage of 20.5% of the Austrian population living with</w:t>
      </w:r>
      <w:r w:rsidR="00344E50">
        <w:rPr>
          <w:lang w:val="en-US"/>
        </w:rPr>
        <w:t xml:space="preserve"> (at least)</w:t>
      </w:r>
      <w:r>
        <w:rPr>
          <w:lang w:val="en-US"/>
        </w:rPr>
        <w:t xml:space="preserve"> </w:t>
      </w:r>
      <w:r w:rsidR="00344E50">
        <w:rPr>
          <w:lang w:val="en-US"/>
        </w:rPr>
        <w:t>one form of a</w:t>
      </w:r>
      <w:r>
        <w:rPr>
          <w:lang w:val="en-US"/>
        </w:rPr>
        <w:t xml:space="preserve"> disability, amounting to 1.7 million persons</w:t>
      </w:r>
      <w:r w:rsidR="00344E50">
        <w:rPr>
          <w:lang w:val="en-US"/>
        </w:rPr>
        <w:t xml:space="preserve"> as a mini-census in 2007 has shown</w:t>
      </w:r>
      <w:r>
        <w:rPr>
          <w:lang w:val="en-US"/>
        </w:rPr>
        <w:t>.</w:t>
      </w:r>
      <w:r>
        <w:rPr>
          <w:rStyle w:val="FootnoteReference"/>
          <w:lang w:val="en-US"/>
        </w:rPr>
        <w:footnoteReference w:id="2"/>
      </w:r>
      <w:r>
        <w:rPr>
          <w:lang w:val="en-US"/>
        </w:rPr>
        <w:t xml:space="preserve"> Among</w:t>
      </w:r>
      <w:r w:rsidR="00344E50">
        <w:rPr>
          <w:lang w:val="en-US"/>
        </w:rPr>
        <w:t>st</w:t>
      </w:r>
      <w:r>
        <w:rPr>
          <w:lang w:val="en-US"/>
        </w:rPr>
        <w:t xml:space="preserve"> people older than 60 years, the percentage of persons with disabilities rises up to 48.4%.</w:t>
      </w:r>
      <w:r>
        <w:rPr>
          <w:rStyle w:val="FootnoteReference"/>
          <w:lang w:val="en-US"/>
        </w:rPr>
        <w:footnoteReference w:id="3"/>
      </w:r>
      <w:r w:rsidR="008B09A8">
        <w:rPr>
          <w:lang w:val="en-US"/>
        </w:rPr>
        <w:t xml:space="preserve"> </w:t>
      </w:r>
      <w:r w:rsidR="00146DFD">
        <w:rPr>
          <w:lang w:val="en-US"/>
        </w:rPr>
        <w:t xml:space="preserve">Issues of disabilities are therefore </w:t>
      </w:r>
      <w:r w:rsidR="0073282D">
        <w:rPr>
          <w:lang w:val="en-US"/>
        </w:rPr>
        <w:t>discussed closely linked</w:t>
      </w:r>
      <w:r w:rsidR="00146DFD">
        <w:rPr>
          <w:lang w:val="en-US"/>
        </w:rPr>
        <w:t xml:space="preserve"> </w:t>
      </w:r>
      <w:r w:rsidR="0073282D">
        <w:rPr>
          <w:lang w:val="en-US"/>
        </w:rPr>
        <w:t>with</w:t>
      </w:r>
      <w:r w:rsidR="00146DFD">
        <w:rPr>
          <w:lang w:val="en-US"/>
        </w:rPr>
        <w:t xml:space="preserve"> </w:t>
      </w:r>
      <w:r w:rsidR="0073282D">
        <w:rPr>
          <w:lang w:val="en-US"/>
        </w:rPr>
        <w:t xml:space="preserve">those of </w:t>
      </w:r>
      <w:r w:rsidR="00146DFD">
        <w:rPr>
          <w:lang w:val="en-US"/>
        </w:rPr>
        <w:t xml:space="preserve">the general health sector, </w:t>
      </w:r>
      <w:r w:rsidR="00894337">
        <w:rPr>
          <w:lang w:val="en-US"/>
        </w:rPr>
        <w:t>care for elderly people and</w:t>
      </w:r>
      <w:r w:rsidR="004A03E0">
        <w:rPr>
          <w:lang w:val="en-US"/>
        </w:rPr>
        <w:t xml:space="preserve"> rehabilitation</w:t>
      </w:r>
      <w:r w:rsidR="00286145">
        <w:rPr>
          <w:lang w:val="en-US"/>
        </w:rPr>
        <w:t xml:space="preserve"> and</w:t>
      </w:r>
      <w:r w:rsidR="00CE3ACB">
        <w:rPr>
          <w:lang w:val="en-US"/>
        </w:rPr>
        <w:t xml:space="preserve"> are</w:t>
      </w:r>
      <w:r w:rsidR="00286145">
        <w:rPr>
          <w:lang w:val="en-US"/>
        </w:rPr>
        <w:t xml:space="preserve"> not expressly distinguished from those other sectors</w:t>
      </w:r>
      <w:r w:rsidR="004A03E0">
        <w:rPr>
          <w:lang w:val="en-US"/>
        </w:rPr>
        <w:t>.</w:t>
      </w:r>
      <w:r w:rsidR="005F7011">
        <w:rPr>
          <w:lang w:val="en-US"/>
        </w:rPr>
        <w:t xml:space="preserve"> This</w:t>
      </w:r>
      <w:r w:rsidR="003D2A86">
        <w:rPr>
          <w:lang w:val="en-US"/>
        </w:rPr>
        <w:t xml:space="preserve"> heavily</w:t>
      </w:r>
      <w:r w:rsidR="005F7011">
        <w:rPr>
          <w:lang w:val="en-US"/>
        </w:rPr>
        <w:t xml:space="preserve"> affects the way data on</w:t>
      </w:r>
      <w:r w:rsidR="00E0186B">
        <w:rPr>
          <w:lang w:val="en-US"/>
        </w:rPr>
        <w:t xml:space="preserve"> disability and</w:t>
      </w:r>
      <w:r w:rsidR="005F7011">
        <w:rPr>
          <w:lang w:val="en-US"/>
        </w:rPr>
        <w:t xml:space="preserve"> the workfo</w:t>
      </w:r>
      <w:r w:rsidR="00247374">
        <w:rPr>
          <w:lang w:val="en-US"/>
        </w:rPr>
        <w:t>rce in social care and support</w:t>
      </w:r>
      <w:r w:rsidR="005F7011">
        <w:rPr>
          <w:lang w:val="en-US"/>
        </w:rPr>
        <w:t xml:space="preserve"> services for persons with disabilities</w:t>
      </w:r>
      <w:r w:rsidR="003D2A86">
        <w:rPr>
          <w:lang w:val="en-US"/>
        </w:rPr>
        <w:t xml:space="preserve"> is gathered, and it </w:t>
      </w:r>
      <w:r w:rsidR="007577D6">
        <w:rPr>
          <w:lang w:val="en-US"/>
        </w:rPr>
        <w:t>can be</w:t>
      </w:r>
      <w:r w:rsidR="003D2A86">
        <w:rPr>
          <w:lang w:val="en-US"/>
        </w:rPr>
        <w:t xml:space="preserve"> difficult to draw conclusions from most official statistics</w:t>
      </w:r>
      <w:r w:rsidR="007432B3">
        <w:rPr>
          <w:lang w:val="en-US"/>
        </w:rPr>
        <w:t xml:space="preserve"> regarding this sector</w:t>
      </w:r>
      <w:r w:rsidR="003D2A86">
        <w:rPr>
          <w:lang w:val="en-US"/>
        </w:rPr>
        <w:t xml:space="preserve">. </w:t>
      </w:r>
      <w:r w:rsidR="006C1E7A">
        <w:rPr>
          <w:lang w:val="en-US"/>
        </w:rPr>
        <w:t xml:space="preserve">Nonetheless, the best shall be done hereinafter to provide a picture as complete as possible from the existing information. </w:t>
      </w:r>
    </w:p>
    <w:p w14:paraId="4AA7D634" w14:textId="77777777" w:rsidR="00393858" w:rsidRDefault="00672B2B" w:rsidP="0084793B">
      <w:pPr>
        <w:rPr>
          <w:lang w:val="en-US"/>
        </w:rPr>
      </w:pPr>
      <w:r>
        <w:rPr>
          <w:lang w:val="en-US"/>
        </w:rPr>
        <w:t>Already i</w:t>
      </w:r>
      <w:r w:rsidR="0084793B">
        <w:rPr>
          <w:lang w:val="en-US"/>
        </w:rPr>
        <w:t>n 2008, Austria ratified the C</w:t>
      </w:r>
      <w:r w:rsidR="0084793B" w:rsidRPr="0084793B">
        <w:rPr>
          <w:lang w:val="en-US"/>
        </w:rPr>
        <w:t>onvention on the Rights of Persons with Disabilities</w:t>
      </w:r>
      <w:r w:rsidR="006251B9">
        <w:rPr>
          <w:lang w:val="en-US"/>
        </w:rPr>
        <w:t xml:space="preserve"> that reaffirms the equal enjoyment of human rights by persons with disabilities, </w:t>
      </w:r>
      <w:r w:rsidR="006251B9">
        <w:rPr>
          <w:i/>
          <w:lang w:val="en-US"/>
        </w:rPr>
        <w:t xml:space="preserve">inter alia </w:t>
      </w:r>
      <w:r w:rsidR="006251B9">
        <w:rPr>
          <w:lang w:val="en-US"/>
        </w:rPr>
        <w:t xml:space="preserve">the equal access </w:t>
      </w:r>
      <w:r w:rsidR="006251B9">
        <w:rPr>
          <w:lang w:val="en-US"/>
        </w:rPr>
        <w:lastRenderedPageBreak/>
        <w:t>to health and social services.</w:t>
      </w:r>
      <w:r w:rsidR="000A72CD">
        <w:rPr>
          <w:rStyle w:val="FootnoteReference"/>
          <w:lang w:val="en-US"/>
        </w:rPr>
        <w:footnoteReference w:id="4"/>
      </w:r>
      <w:r w:rsidR="0084793B">
        <w:rPr>
          <w:lang w:val="en-US"/>
        </w:rPr>
        <w:t xml:space="preserve"> </w:t>
      </w:r>
      <w:r w:rsidR="000245C3">
        <w:rPr>
          <w:lang w:val="en-US"/>
        </w:rPr>
        <w:t>This</w:t>
      </w:r>
      <w:r w:rsidR="0084793B">
        <w:rPr>
          <w:lang w:val="en-US"/>
        </w:rPr>
        <w:t xml:space="preserve"> step led to</w:t>
      </w:r>
      <w:r w:rsidR="000245C3">
        <w:rPr>
          <w:lang w:val="en-US"/>
        </w:rPr>
        <w:t xml:space="preserve"> a multitude of activities on the national level, for example</w:t>
      </w:r>
      <w:r w:rsidR="0084793B">
        <w:rPr>
          <w:lang w:val="en-US"/>
        </w:rPr>
        <w:t xml:space="preserve"> the drafting of reports, action plans and reinforced efforts by ministries and other stakeholders regarding the issues faced </w:t>
      </w:r>
      <w:r w:rsidR="00224B38">
        <w:rPr>
          <w:lang w:val="en-US"/>
        </w:rPr>
        <w:t>by persons with disabilities</w:t>
      </w:r>
      <w:r w:rsidR="0084793B">
        <w:rPr>
          <w:lang w:val="en-US"/>
        </w:rPr>
        <w:t xml:space="preserve">. </w:t>
      </w:r>
      <w:r w:rsidR="00A9585C">
        <w:rPr>
          <w:lang w:val="en-US"/>
        </w:rPr>
        <w:t>The</w:t>
      </w:r>
      <w:r w:rsidR="003273B2">
        <w:rPr>
          <w:lang w:val="en-US"/>
        </w:rPr>
        <w:t xml:space="preserve"> “National</w:t>
      </w:r>
      <w:r w:rsidR="00A9585C">
        <w:rPr>
          <w:lang w:val="en-US"/>
        </w:rPr>
        <w:t xml:space="preserve"> Action Plan </w:t>
      </w:r>
      <w:r w:rsidR="003273B2">
        <w:rPr>
          <w:lang w:val="en-US"/>
        </w:rPr>
        <w:t>Disability</w:t>
      </w:r>
      <w:r w:rsidR="00D93758">
        <w:rPr>
          <w:lang w:val="en-US"/>
        </w:rPr>
        <w:t xml:space="preserve"> 2012-2020</w:t>
      </w:r>
      <w:r w:rsidR="003273B2">
        <w:rPr>
          <w:lang w:val="en-US"/>
        </w:rPr>
        <w:t>”</w:t>
      </w:r>
      <w:r w:rsidR="00D93758">
        <w:rPr>
          <w:lang w:val="en-US"/>
        </w:rPr>
        <w:t xml:space="preserve"> includes a far-ranging catalogue of measures to guarantee the inclusion of persons with disabilities</w:t>
      </w:r>
      <w:r w:rsidR="00E0186B">
        <w:rPr>
          <w:lang w:val="en-US"/>
        </w:rPr>
        <w:t xml:space="preserve"> in the labo</w:t>
      </w:r>
      <w:r w:rsidR="00302D48">
        <w:rPr>
          <w:lang w:val="en-US"/>
        </w:rPr>
        <w:t>r market, the education system and health and rehabilitation, among other areas</w:t>
      </w:r>
      <w:r w:rsidR="00D93758">
        <w:rPr>
          <w:lang w:val="en-US"/>
        </w:rPr>
        <w:t>.</w:t>
      </w:r>
      <w:r w:rsidR="00D93758">
        <w:rPr>
          <w:rStyle w:val="FootnoteReference"/>
          <w:lang w:val="en-US"/>
        </w:rPr>
        <w:footnoteReference w:id="5"/>
      </w:r>
      <w:r w:rsidR="005C5897">
        <w:rPr>
          <w:lang w:val="en-US"/>
        </w:rPr>
        <w:t xml:space="preserve"> Also, the Monitoring Group of the Action Plan, tasked with the evaluation of the Plan and prioritizing its goals</w:t>
      </w:r>
      <w:r w:rsidR="005C5897">
        <w:rPr>
          <w:rStyle w:val="FootnoteReference"/>
          <w:lang w:val="en-US"/>
        </w:rPr>
        <w:footnoteReference w:id="6"/>
      </w:r>
      <w:r w:rsidR="005C5897">
        <w:rPr>
          <w:lang w:val="en-US"/>
        </w:rPr>
        <w:t>, set out to gather statistical data</w:t>
      </w:r>
      <w:r w:rsidR="005000B2">
        <w:rPr>
          <w:lang w:val="en-US"/>
        </w:rPr>
        <w:t xml:space="preserve"> from all ministry departments</w:t>
      </w:r>
      <w:r w:rsidR="00857C8E">
        <w:rPr>
          <w:lang w:val="en-US"/>
        </w:rPr>
        <w:t xml:space="preserve"> on persons with disabilities in Austria</w:t>
      </w:r>
      <w:r w:rsidR="005C5897">
        <w:rPr>
          <w:lang w:val="en-US"/>
        </w:rPr>
        <w:t>.</w:t>
      </w:r>
      <w:r w:rsidR="005C5897">
        <w:rPr>
          <w:rStyle w:val="FootnoteReference"/>
          <w:lang w:val="en-US"/>
        </w:rPr>
        <w:footnoteReference w:id="7"/>
      </w:r>
      <w:r w:rsidR="005C5897">
        <w:rPr>
          <w:lang w:val="en-US"/>
        </w:rPr>
        <w:t xml:space="preserve"> </w:t>
      </w:r>
    </w:p>
    <w:p w14:paraId="23D1582B" w14:textId="77777777" w:rsidR="00393858" w:rsidRPr="001C52C8" w:rsidRDefault="00393858" w:rsidP="00393858">
      <w:pPr>
        <w:pStyle w:val="Heading2"/>
        <w:rPr>
          <w:rFonts w:ascii="Calibri Light" w:hAnsi="Calibri Light"/>
          <w:lang w:val="en-US"/>
        </w:rPr>
      </w:pPr>
      <w:r w:rsidRPr="001C52C8">
        <w:rPr>
          <w:rFonts w:ascii="Calibri Light" w:hAnsi="Calibri Light"/>
          <w:lang w:val="en-US"/>
        </w:rPr>
        <w:t>Acc</w:t>
      </w:r>
      <w:r w:rsidR="00247374" w:rsidRPr="001C52C8">
        <w:rPr>
          <w:rFonts w:ascii="Calibri Light" w:hAnsi="Calibri Light"/>
          <w:lang w:val="en-US"/>
        </w:rPr>
        <w:t>ess to Social Care and Support</w:t>
      </w:r>
      <w:r w:rsidRPr="001C52C8">
        <w:rPr>
          <w:rFonts w:ascii="Calibri Light" w:hAnsi="Calibri Light"/>
          <w:lang w:val="en-US"/>
        </w:rPr>
        <w:t xml:space="preserve"> Services for Persons with Disabilities</w:t>
      </w:r>
    </w:p>
    <w:p w14:paraId="313023D7" w14:textId="77777777" w:rsidR="00C364CD" w:rsidRDefault="00131855" w:rsidP="0084793B">
      <w:pPr>
        <w:rPr>
          <w:lang w:val="en-US"/>
        </w:rPr>
      </w:pPr>
      <w:r>
        <w:rPr>
          <w:lang w:val="en-US"/>
        </w:rPr>
        <w:t>The Austrian model of</w:t>
      </w:r>
      <w:r w:rsidR="003E3758">
        <w:rPr>
          <w:lang w:val="en-US"/>
        </w:rPr>
        <w:t xml:space="preserve"> disability policy, including the</w:t>
      </w:r>
      <w:r>
        <w:rPr>
          <w:lang w:val="en-US"/>
        </w:rPr>
        <w:t xml:space="preserve"> acc</w:t>
      </w:r>
      <w:r w:rsidR="00247374">
        <w:rPr>
          <w:lang w:val="en-US"/>
        </w:rPr>
        <w:t>ess to social care and support</w:t>
      </w:r>
      <w:r>
        <w:rPr>
          <w:lang w:val="en-US"/>
        </w:rPr>
        <w:t xml:space="preserve"> services for persons with disabilities</w:t>
      </w:r>
      <w:r w:rsidR="003E3758">
        <w:rPr>
          <w:lang w:val="en-US"/>
        </w:rPr>
        <w:t>,</w:t>
      </w:r>
      <w:r>
        <w:rPr>
          <w:lang w:val="en-US"/>
        </w:rPr>
        <w:t xml:space="preserve"> is based on the p</w:t>
      </w:r>
      <w:r w:rsidR="003E3758">
        <w:rPr>
          <w:lang w:val="en-US"/>
        </w:rPr>
        <w:t>rinciple of self-determination.</w:t>
      </w:r>
      <w:r w:rsidR="003E3758">
        <w:rPr>
          <w:rStyle w:val="FootnoteReference"/>
          <w:lang w:val="en-US"/>
        </w:rPr>
        <w:footnoteReference w:id="8"/>
      </w:r>
      <w:r w:rsidR="008A6177">
        <w:rPr>
          <w:lang w:val="en-US"/>
        </w:rPr>
        <w:t xml:space="preserve"> Accordingly, </w:t>
      </w:r>
      <w:r w:rsidR="00CF6816">
        <w:rPr>
          <w:lang w:val="en-US"/>
        </w:rPr>
        <w:t>persons with disabilities or their legal representatives can choose freel</w:t>
      </w:r>
      <w:r w:rsidR="004F1453">
        <w:rPr>
          <w:lang w:val="en-US"/>
        </w:rPr>
        <w:t xml:space="preserve">y which forms of assistance they deem fit </w:t>
      </w:r>
      <w:r w:rsidR="003B6F97">
        <w:rPr>
          <w:lang w:val="en-US"/>
        </w:rPr>
        <w:t>to meet their respective needs</w:t>
      </w:r>
      <w:r w:rsidR="004F1453">
        <w:rPr>
          <w:lang w:val="en-US"/>
        </w:rPr>
        <w:t>.</w:t>
      </w:r>
      <w:r w:rsidR="00BC094C">
        <w:rPr>
          <w:lang w:val="en-US"/>
        </w:rPr>
        <w:t xml:space="preserve"> In doing</w:t>
      </w:r>
      <w:r w:rsidR="00247374">
        <w:rPr>
          <w:lang w:val="en-US"/>
        </w:rPr>
        <w:t xml:space="preserve"> so, they are publicly support</w:t>
      </w:r>
      <w:r w:rsidR="00E0186B">
        <w:rPr>
          <w:lang w:val="en-US"/>
        </w:rPr>
        <w:t>ed</w:t>
      </w:r>
      <w:r w:rsidR="00BC094C">
        <w:rPr>
          <w:lang w:val="en-US"/>
        </w:rPr>
        <w:t xml:space="preserve"> by </w:t>
      </w:r>
      <w:r w:rsidR="00B81112">
        <w:rPr>
          <w:lang w:val="en-US"/>
        </w:rPr>
        <w:t>being granted</w:t>
      </w:r>
      <w:r w:rsidR="00BC094C">
        <w:rPr>
          <w:lang w:val="en-US"/>
        </w:rPr>
        <w:t xml:space="preserve"> the so-called </w:t>
      </w:r>
      <w:r w:rsidR="00CF6816">
        <w:rPr>
          <w:i/>
          <w:lang w:val="en-US"/>
        </w:rPr>
        <w:t>Pflegegeld</w:t>
      </w:r>
      <w:r w:rsidR="00BC094C">
        <w:rPr>
          <w:lang w:val="en-US"/>
        </w:rPr>
        <w:t xml:space="preserve"> (Care Allowance)</w:t>
      </w:r>
      <w:r w:rsidR="008407FA">
        <w:rPr>
          <w:lang w:val="en-US"/>
        </w:rPr>
        <w:t xml:space="preserve"> 12 times a year, at the end of every month</w:t>
      </w:r>
      <w:r w:rsidR="00705BDC">
        <w:rPr>
          <w:lang w:val="en-US"/>
        </w:rPr>
        <w:t xml:space="preserve"> and free from income tax</w:t>
      </w:r>
      <w:r w:rsidR="00BC094C">
        <w:rPr>
          <w:lang w:val="en-US"/>
        </w:rPr>
        <w:t>.</w:t>
      </w:r>
      <w:r w:rsidR="00E528B7">
        <w:rPr>
          <w:rStyle w:val="FootnoteReference"/>
          <w:lang w:val="en-US"/>
        </w:rPr>
        <w:footnoteReference w:id="9"/>
      </w:r>
      <w:r w:rsidR="000A3A79">
        <w:rPr>
          <w:lang w:val="en-US"/>
        </w:rPr>
        <w:t xml:space="preserve"> </w:t>
      </w:r>
      <w:r w:rsidR="00C364CD">
        <w:rPr>
          <w:lang w:val="en-US"/>
        </w:rPr>
        <w:t xml:space="preserve">The value of the allowance is determined in a 7-level-scheme, level 1 being the </w:t>
      </w:r>
      <w:r w:rsidR="0033686C">
        <w:rPr>
          <w:lang w:val="en-US"/>
        </w:rPr>
        <w:t>“</w:t>
      </w:r>
      <w:r w:rsidR="00C364CD">
        <w:rPr>
          <w:lang w:val="en-US"/>
        </w:rPr>
        <w:t>lowest</w:t>
      </w:r>
      <w:r w:rsidR="0033686C">
        <w:rPr>
          <w:lang w:val="en-US"/>
        </w:rPr>
        <w:t>”</w:t>
      </w:r>
      <w:r w:rsidR="00C364CD">
        <w:rPr>
          <w:lang w:val="en-US"/>
        </w:rPr>
        <w:t xml:space="preserve"> form of disability and level 7 the </w:t>
      </w:r>
      <w:r w:rsidR="0033686C">
        <w:rPr>
          <w:lang w:val="en-US"/>
        </w:rPr>
        <w:t>“</w:t>
      </w:r>
      <w:r w:rsidR="00C364CD">
        <w:rPr>
          <w:lang w:val="en-US"/>
        </w:rPr>
        <w:t>highest</w:t>
      </w:r>
      <w:r w:rsidR="0033686C">
        <w:rPr>
          <w:lang w:val="en-US"/>
        </w:rPr>
        <w:t>”</w:t>
      </w:r>
      <w:r w:rsidR="00C364CD">
        <w:rPr>
          <w:lang w:val="en-US"/>
        </w:rPr>
        <w:t>.</w:t>
      </w:r>
      <w:r w:rsidR="00401482">
        <w:rPr>
          <w:rStyle w:val="FootnoteReference"/>
          <w:lang w:val="en-US"/>
        </w:rPr>
        <w:footnoteReference w:id="10"/>
      </w:r>
      <w:r w:rsidR="00E912AC">
        <w:rPr>
          <w:lang w:val="en-US"/>
        </w:rPr>
        <w:t xml:space="preserve"> The designation to which group a person belongs is regulated by the Evaluation Regulation mentioned above</w:t>
      </w:r>
      <w:r w:rsidR="00056285">
        <w:rPr>
          <w:lang w:val="en-US"/>
        </w:rPr>
        <w:t>, and the amount of monthly payments are directly linked to this assessment</w:t>
      </w:r>
      <w:r w:rsidR="00E912AC">
        <w:rPr>
          <w:lang w:val="en-US"/>
        </w:rPr>
        <w:t xml:space="preserve">. </w:t>
      </w:r>
      <w:r w:rsidR="0033686C">
        <w:rPr>
          <w:lang w:val="en-US"/>
        </w:rPr>
        <w:t xml:space="preserve">While in level 1, persons entitled to Care Allowance receive </w:t>
      </w:r>
      <w:r w:rsidR="00401482">
        <w:rPr>
          <w:lang w:val="en-US"/>
        </w:rPr>
        <w:t>€ 157.30 per month, persons in level 7 receive € 1688.90.</w:t>
      </w:r>
      <w:r w:rsidR="00AD76BE">
        <w:rPr>
          <w:rStyle w:val="FootnoteReference"/>
          <w:lang w:val="en-US"/>
        </w:rPr>
        <w:footnoteReference w:id="11"/>
      </w:r>
    </w:p>
    <w:p w14:paraId="1EDBCE1E" w14:textId="77777777" w:rsidR="003E30A4" w:rsidRPr="00265F33" w:rsidRDefault="00F272F9" w:rsidP="0084793B">
      <w:pPr>
        <w:rPr>
          <w:lang w:val="en-US"/>
        </w:rPr>
      </w:pPr>
      <w:r>
        <w:rPr>
          <w:lang w:val="en-US"/>
        </w:rPr>
        <w:t>In its statistical report, the Monitoring Group identified 432,819 persons entitled to receive</w:t>
      </w:r>
      <w:r w:rsidR="00CF6816">
        <w:rPr>
          <w:lang w:val="en-US"/>
        </w:rPr>
        <w:t xml:space="preserve"> Care Allowance</w:t>
      </w:r>
      <w:r w:rsidR="00393858">
        <w:rPr>
          <w:lang w:val="en-US"/>
        </w:rPr>
        <w:t xml:space="preserve"> in 2012.</w:t>
      </w:r>
      <w:r w:rsidR="00393858">
        <w:rPr>
          <w:rStyle w:val="FootnoteReference"/>
          <w:lang w:val="en-US"/>
        </w:rPr>
        <w:footnoteReference w:id="12"/>
      </w:r>
      <w:r w:rsidR="00E4642E">
        <w:rPr>
          <w:lang w:val="en-US"/>
        </w:rPr>
        <w:t xml:space="preserve"> The fact whether a person </w:t>
      </w:r>
      <w:r w:rsidR="0061340A">
        <w:rPr>
          <w:lang w:val="en-US"/>
        </w:rPr>
        <w:t>may</w:t>
      </w:r>
      <w:r w:rsidR="00E4642E">
        <w:rPr>
          <w:lang w:val="en-US"/>
        </w:rPr>
        <w:t xml:space="preserve"> receive this allowance is determined by the </w:t>
      </w:r>
      <w:r w:rsidR="00E4642E">
        <w:rPr>
          <w:i/>
          <w:lang w:val="en-US"/>
        </w:rPr>
        <w:t>Pflegegeldgesetz</w:t>
      </w:r>
      <w:r w:rsidR="0052547E">
        <w:rPr>
          <w:i/>
          <w:lang w:val="en-US"/>
        </w:rPr>
        <w:t xml:space="preserve"> </w:t>
      </w:r>
      <w:r w:rsidR="0052547E">
        <w:rPr>
          <w:lang w:val="en-US"/>
        </w:rPr>
        <w:t>(Care Allowance Act)</w:t>
      </w:r>
      <w:r w:rsidR="005B5661">
        <w:rPr>
          <w:lang w:val="en-US"/>
        </w:rPr>
        <w:t xml:space="preserve"> that entered into force in 2012, concentrating the competences in this area at the level of the federal government</w:t>
      </w:r>
      <w:r w:rsidR="00615938">
        <w:rPr>
          <w:lang w:val="en-US"/>
        </w:rPr>
        <w:t xml:space="preserve"> and tasking the </w:t>
      </w:r>
      <w:r w:rsidR="00615938">
        <w:rPr>
          <w:i/>
          <w:lang w:val="en-US"/>
        </w:rPr>
        <w:t xml:space="preserve">Pensionsversicherungsanstalt </w:t>
      </w:r>
      <w:r w:rsidR="00E54B8D">
        <w:rPr>
          <w:lang w:val="en-US"/>
        </w:rPr>
        <w:t xml:space="preserve">(Pension Insurance Institution) </w:t>
      </w:r>
      <w:r w:rsidR="00615938">
        <w:rPr>
          <w:lang w:val="en-US"/>
        </w:rPr>
        <w:t>with th</w:t>
      </w:r>
      <w:r w:rsidR="00E0186B">
        <w:rPr>
          <w:lang w:val="en-US"/>
        </w:rPr>
        <w:t>e administration of all care a</w:t>
      </w:r>
      <w:r w:rsidR="00122D1D">
        <w:rPr>
          <w:lang w:val="en-US"/>
        </w:rPr>
        <w:t>llowance payments</w:t>
      </w:r>
      <w:r w:rsidR="00E24E49">
        <w:rPr>
          <w:lang w:val="en-US"/>
        </w:rPr>
        <w:t>.</w:t>
      </w:r>
      <w:r w:rsidR="00E4642E">
        <w:rPr>
          <w:lang w:val="en-US"/>
        </w:rPr>
        <w:t xml:space="preserve"> </w:t>
      </w:r>
      <w:r w:rsidR="00E24E49">
        <w:rPr>
          <w:lang w:val="en-US"/>
        </w:rPr>
        <w:t>T</w:t>
      </w:r>
      <w:r w:rsidR="00CD2DFB">
        <w:rPr>
          <w:lang w:val="en-US"/>
        </w:rPr>
        <w:t>he most important requirements</w:t>
      </w:r>
      <w:r w:rsidR="00CB3085">
        <w:rPr>
          <w:lang w:val="en-US"/>
        </w:rPr>
        <w:t xml:space="preserve"> to be granted Care Allowance</w:t>
      </w:r>
      <w:r w:rsidR="00E4642E">
        <w:rPr>
          <w:lang w:val="en-US"/>
        </w:rPr>
        <w:t xml:space="preserve"> are </w:t>
      </w:r>
      <w:r w:rsidR="0052547E">
        <w:rPr>
          <w:lang w:val="en-US"/>
        </w:rPr>
        <w:t>constant need for assistance due to a disability as defined by the Evaluation Regulation described</w:t>
      </w:r>
      <w:r w:rsidR="00CD2DFB">
        <w:rPr>
          <w:lang w:val="en-US"/>
        </w:rPr>
        <w:t xml:space="preserve"> above, that this need amounts to</w:t>
      </w:r>
      <w:r w:rsidR="0052547E">
        <w:rPr>
          <w:lang w:val="en-US"/>
        </w:rPr>
        <w:t xml:space="preserve"> at least 65 hours per month</w:t>
      </w:r>
      <w:r w:rsidR="00CD2DFB">
        <w:rPr>
          <w:lang w:val="en-US"/>
        </w:rPr>
        <w:t>,</w:t>
      </w:r>
      <w:r w:rsidR="0052547E">
        <w:rPr>
          <w:lang w:val="en-US"/>
        </w:rPr>
        <w:t xml:space="preserve"> and a habitual residence in Austria</w:t>
      </w:r>
      <w:r w:rsidR="00E4642E">
        <w:rPr>
          <w:lang w:val="en-US"/>
        </w:rPr>
        <w:t>.</w:t>
      </w:r>
      <w:r>
        <w:rPr>
          <w:lang w:val="en-US"/>
        </w:rPr>
        <w:t xml:space="preserve"> </w:t>
      </w:r>
      <w:r w:rsidR="00265F33">
        <w:rPr>
          <w:lang w:val="en-US"/>
        </w:rPr>
        <w:t xml:space="preserve">Some </w:t>
      </w:r>
      <w:r w:rsidR="00265F33">
        <w:rPr>
          <w:i/>
          <w:lang w:val="en-US"/>
        </w:rPr>
        <w:t xml:space="preserve">Länder </w:t>
      </w:r>
      <w:r w:rsidR="00265F33">
        <w:rPr>
          <w:lang w:val="en-US"/>
        </w:rPr>
        <w:t>(regions) of Austria</w:t>
      </w:r>
      <w:r w:rsidR="0040518B">
        <w:rPr>
          <w:lang w:val="en-US"/>
        </w:rPr>
        <w:t>, that were responsible for Care Allowances before 2012,</w:t>
      </w:r>
      <w:r w:rsidR="00265F33">
        <w:rPr>
          <w:lang w:val="en-US"/>
        </w:rPr>
        <w:t xml:space="preserve"> choose to</w:t>
      </w:r>
      <w:r w:rsidR="001E18C3">
        <w:rPr>
          <w:lang w:val="en-US"/>
        </w:rPr>
        <w:t xml:space="preserve"> additionally</w:t>
      </w:r>
      <w:r w:rsidR="00265F33">
        <w:rPr>
          <w:lang w:val="en-US"/>
        </w:rPr>
        <w:t xml:space="preserve"> support their inhabitants</w:t>
      </w:r>
      <w:r w:rsidR="0022159B">
        <w:rPr>
          <w:lang w:val="en-US"/>
        </w:rPr>
        <w:t xml:space="preserve"> with disabilities</w:t>
      </w:r>
      <w:r w:rsidR="00265F33">
        <w:rPr>
          <w:lang w:val="en-US"/>
        </w:rPr>
        <w:t xml:space="preserve"> by granting an additional </w:t>
      </w:r>
      <w:r w:rsidR="00265F33">
        <w:rPr>
          <w:i/>
          <w:lang w:val="en-US"/>
        </w:rPr>
        <w:t xml:space="preserve">Pflegegeldzuschuss </w:t>
      </w:r>
      <w:r w:rsidR="00265F33">
        <w:rPr>
          <w:lang w:val="en-US"/>
        </w:rPr>
        <w:t>(Care Allowance subsidy)</w:t>
      </w:r>
      <w:r w:rsidR="00C262D7">
        <w:rPr>
          <w:lang w:val="en-US"/>
        </w:rPr>
        <w:t xml:space="preserve"> that covers </w:t>
      </w:r>
      <w:r w:rsidR="005C3F0A">
        <w:rPr>
          <w:lang w:val="en-US"/>
        </w:rPr>
        <w:t>a portion</w:t>
      </w:r>
      <w:r w:rsidR="00565C3A">
        <w:rPr>
          <w:lang w:val="en-US"/>
        </w:rPr>
        <w:t xml:space="preserve"> of care expenses. For example,</w:t>
      </w:r>
      <w:r w:rsidR="00C01543">
        <w:rPr>
          <w:lang w:val="en-US"/>
        </w:rPr>
        <w:t xml:space="preserve"> the region</w:t>
      </w:r>
      <w:r w:rsidR="00C262D7">
        <w:rPr>
          <w:lang w:val="en-US"/>
        </w:rPr>
        <w:t xml:space="preserve"> </w:t>
      </w:r>
      <w:r w:rsidR="00C262D7" w:rsidRPr="00726243">
        <w:rPr>
          <w:i/>
          <w:lang w:val="en-US"/>
        </w:rPr>
        <w:t>Vorarlberg</w:t>
      </w:r>
      <w:r w:rsidR="00C262D7">
        <w:rPr>
          <w:lang w:val="en-US"/>
        </w:rPr>
        <w:t xml:space="preserve"> grants </w:t>
      </w:r>
      <w:r w:rsidR="00A859BC">
        <w:rPr>
          <w:lang w:val="en-US"/>
        </w:rPr>
        <w:lastRenderedPageBreak/>
        <w:t xml:space="preserve">an extra </w:t>
      </w:r>
      <w:r w:rsidR="00C262D7">
        <w:rPr>
          <w:lang w:val="en-US"/>
        </w:rPr>
        <w:t>€ 200.00 a month to persons within level 5, 6 or 7 of the disability scheme prescribed by the Care Allowance Act.</w:t>
      </w:r>
      <w:r w:rsidR="00B231A6">
        <w:rPr>
          <w:rStyle w:val="FootnoteReference"/>
          <w:lang w:val="en-US"/>
        </w:rPr>
        <w:footnoteReference w:id="13"/>
      </w:r>
    </w:p>
    <w:p w14:paraId="717F14A9" w14:textId="77777777" w:rsidR="00857C8E" w:rsidRPr="00EC08E2" w:rsidRDefault="00B376AB" w:rsidP="0084793B">
      <w:pPr>
        <w:rPr>
          <w:lang w:val="en-US"/>
        </w:rPr>
      </w:pPr>
      <w:r>
        <w:rPr>
          <w:lang w:val="en-US"/>
        </w:rPr>
        <w:t xml:space="preserve">In contrast </w:t>
      </w:r>
      <w:r w:rsidR="00FC0370">
        <w:rPr>
          <w:lang w:val="en-US"/>
        </w:rPr>
        <w:t>with</w:t>
      </w:r>
      <w:r>
        <w:rPr>
          <w:lang w:val="en-US"/>
        </w:rPr>
        <w:t xml:space="preserve"> the precisely regulated </w:t>
      </w:r>
      <w:r w:rsidR="0046530B">
        <w:rPr>
          <w:lang w:val="en-US"/>
        </w:rPr>
        <w:t>conditions under which financial support is granted,</w:t>
      </w:r>
      <w:r>
        <w:rPr>
          <w:lang w:val="en-US"/>
        </w:rPr>
        <w:t xml:space="preserve"> the practical acc</w:t>
      </w:r>
      <w:r w:rsidR="00FD690B">
        <w:rPr>
          <w:lang w:val="en-US"/>
        </w:rPr>
        <w:t>ess to social care and support</w:t>
      </w:r>
      <w:r>
        <w:rPr>
          <w:lang w:val="en-US"/>
        </w:rPr>
        <w:t xml:space="preserve"> services seems to be</w:t>
      </w:r>
      <w:r w:rsidR="00D63C65">
        <w:rPr>
          <w:lang w:val="en-US"/>
        </w:rPr>
        <w:t xml:space="preserve"> more problematic:</w:t>
      </w:r>
      <w:r>
        <w:rPr>
          <w:lang w:val="en-US"/>
        </w:rPr>
        <w:t xml:space="preserve"> </w:t>
      </w:r>
      <w:r w:rsidR="00457BB9">
        <w:rPr>
          <w:lang w:val="en-US"/>
        </w:rPr>
        <w:t>In</w:t>
      </w:r>
      <w:r w:rsidR="00EA2EE6">
        <w:rPr>
          <w:lang w:val="en-US"/>
        </w:rPr>
        <w:t xml:space="preserve"> 2010, 53% of </w:t>
      </w:r>
      <w:r w:rsidR="00B157FD">
        <w:rPr>
          <w:lang w:val="en-US"/>
        </w:rPr>
        <w:t>persons entitled to Care Allowance</w:t>
      </w:r>
      <w:r w:rsidR="00EA2EE6">
        <w:rPr>
          <w:lang w:val="en-US"/>
        </w:rPr>
        <w:t xml:space="preserve"> did not receive</w:t>
      </w:r>
      <w:r w:rsidR="005A675C">
        <w:rPr>
          <w:lang w:val="en-US"/>
        </w:rPr>
        <w:t xml:space="preserve"> formal</w:t>
      </w:r>
      <w:r w:rsidR="00EA2EE6">
        <w:rPr>
          <w:lang w:val="en-US"/>
        </w:rPr>
        <w:t xml:space="preserve"> social care services, 29% relied on mobile services, 16% on stationa</w:t>
      </w:r>
      <w:r w:rsidR="00457BB9">
        <w:rPr>
          <w:lang w:val="en-US"/>
        </w:rPr>
        <w:t>ry care and 2% on 24-hours-care.</w:t>
      </w:r>
      <w:r w:rsidR="00EA2EE6">
        <w:rPr>
          <w:lang w:val="en-US"/>
        </w:rPr>
        <w:t xml:space="preserve"> </w:t>
      </w:r>
      <w:r w:rsidR="00457BB9">
        <w:rPr>
          <w:lang w:val="en-US"/>
        </w:rPr>
        <w:t>In</w:t>
      </w:r>
      <w:r w:rsidR="00B157FD">
        <w:rPr>
          <w:lang w:val="en-US"/>
        </w:rPr>
        <w:t xml:space="preserve"> 2011, 48% did not receive any</w:t>
      </w:r>
      <w:r w:rsidR="005A675C">
        <w:rPr>
          <w:lang w:val="en-US"/>
        </w:rPr>
        <w:t xml:space="preserve"> formal</w:t>
      </w:r>
      <w:r w:rsidR="00B157FD">
        <w:rPr>
          <w:lang w:val="en-US"/>
        </w:rPr>
        <w:t xml:space="preserve"> services, 32% made use of mobile services, </w:t>
      </w:r>
      <w:r w:rsidR="00BD42CA">
        <w:rPr>
          <w:lang w:val="en-US"/>
        </w:rPr>
        <w:t>17% were in stationary care and 3% in 24-hours-care.</w:t>
      </w:r>
      <w:r w:rsidR="002F343F">
        <w:rPr>
          <w:rStyle w:val="FootnoteReference"/>
          <w:lang w:val="en-US"/>
        </w:rPr>
        <w:footnoteReference w:id="14"/>
      </w:r>
      <w:r w:rsidR="00531623">
        <w:rPr>
          <w:lang w:val="en-US"/>
        </w:rPr>
        <w:t xml:space="preserve"> The high percentage of persons with disabilities who are not </w:t>
      </w:r>
      <w:r w:rsidR="000248D4">
        <w:rPr>
          <w:lang w:val="en-US"/>
        </w:rPr>
        <w:t>receiving formal care services</w:t>
      </w:r>
      <w:r w:rsidR="00E01902">
        <w:rPr>
          <w:lang w:val="en-US"/>
        </w:rPr>
        <w:t xml:space="preserve"> is supplemented by reports that care</w:t>
      </w:r>
      <w:r w:rsidR="008C69F9">
        <w:rPr>
          <w:lang w:val="en-US"/>
        </w:rPr>
        <w:t xml:space="preserve"> for other groups, e.g. for elderly people,</w:t>
      </w:r>
      <w:r w:rsidR="00E01902">
        <w:rPr>
          <w:lang w:val="en-US"/>
        </w:rPr>
        <w:t xml:space="preserve"> is largely provided by families</w:t>
      </w:r>
      <w:r w:rsidR="00B27483">
        <w:rPr>
          <w:lang w:val="en-US"/>
        </w:rPr>
        <w:t xml:space="preserve"> in Austria</w:t>
      </w:r>
      <w:r w:rsidR="00E01902">
        <w:rPr>
          <w:lang w:val="en-US"/>
        </w:rPr>
        <w:t>.</w:t>
      </w:r>
      <w:r w:rsidR="008C69F9">
        <w:rPr>
          <w:rStyle w:val="FootnoteReference"/>
          <w:lang w:val="en-US"/>
        </w:rPr>
        <w:footnoteReference w:id="15"/>
      </w:r>
      <w:r w:rsidR="00176DB3">
        <w:rPr>
          <w:lang w:val="en-US"/>
        </w:rPr>
        <w:t xml:space="preserve"> They are, </w:t>
      </w:r>
      <w:r w:rsidR="008D56D9">
        <w:rPr>
          <w:lang w:val="en-US"/>
        </w:rPr>
        <w:t>in other words,</w:t>
      </w:r>
      <w:r w:rsidR="00176DB3">
        <w:rPr>
          <w:lang w:val="en-US"/>
        </w:rPr>
        <w:t xml:space="preserve"> excluded from the formal sector and supported informally by their relatives.</w:t>
      </w:r>
      <w:r w:rsidR="007E1D3C">
        <w:rPr>
          <w:lang w:val="en-US"/>
        </w:rPr>
        <w:t xml:space="preserve"> </w:t>
      </w:r>
      <w:r w:rsidR="00EC08E2">
        <w:rPr>
          <w:lang w:val="en-US"/>
        </w:rPr>
        <w:t>Since 2014, family members who take care of relatives that have a disability of at least level 3 are entitled</w:t>
      </w:r>
      <w:r w:rsidR="00E30575">
        <w:rPr>
          <w:lang w:val="en-US"/>
        </w:rPr>
        <w:t xml:space="preserve"> to go on care leave</w:t>
      </w:r>
      <w:r w:rsidR="00EC08E2">
        <w:rPr>
          <w:lang w:val="en-US"/>
        </w:rPr>
        <w:t xml:space="preserve"> </w:t>
      </w:r>
      <w:r w:rsidR="005508FC">
        <w:rPr>
          <w:lang w:val="en-US"/>
        </w:rPr>
        <w:t xml:space="preserve">and </w:t>
      </w:r>
      <w:r w:rsidR="00EC08E2">
        <w:rPr>
          <w:lang w:val="en-US"/>
        </w:rPr>
        <w:t xml:space="preserve">to receive the so-called </w:t>
      </w:r>
      <w:r w:rsidR="00EC08E2">
        <w:rPr>
          <w:i/>
          <w:lang w:val="en-US"/>
        </w:rPr>
        <w:t xml:space="preserve">Pflegekarenzgeld </w:t>
      </w:r>
      <w:r w:rsidR="00A207AF">
        <w:rPr>
          <w:lang w:val="en-US"/>
        </w:rPr>
        <w:t>(c</w:t>
      </w:r>
      <w:r w:rsidR="00EC08E2">
        <w:rPr>
          <w:lang w:val="en-US"/>
        </w:rPr>
        <w:t>are leave allowance)</w:t>
      </w:r>
      <w:r w:rsidR="005D5765">
        <w:rPr>
          <w:lang w:val="en-US"/>
        </w:rPr>
        <w:t xml:space="preserve"> which amounts to 55% of the prior net wage</w:t>
      </w:r>
      <w:r w:rsidR="00EC08E2">
        <w:rPr>
          <w:lang w:val="en-US"/>
        </w:rPr>
        <w:t xml:space="preserve"> for up to 3 months.</w:t>
      </w:r>
      <w:r w:rsidR="0096471D">
        <w:rPr>
          <w:lang w:val="en-US"/>
        </w:rPr>
        <w:t xml:space="preserve"> </w:t>
      </w:r>
      <w:r w:rsidR="009B2456">
        <w:rPr>
          <w:lang w:val="en-US"/>
        </w:rPr>
        <w:t>Such a</w:t>
      </w:r>
      <w:r w:rsidR="0096471D">
        <w:rPr>
          <w:lang w:val="en-US"/>
        </w:rPr>
        <w:t xml:space="preserve"> care leave has to be agreed upon by</w:t>
      </w:r>
      <w:r w:rsidR="00124672">
        <w:rPr>
          <w:lang w:val="en-US"/>
        </w:rPr>
        <w:t xml:space="preserve"> the</w:t>
      </w:r>
      <w:r w:rsidR="0096471D">
        <w:rPr>
          <w:lang w:val="en-US"/>
        </w:rPr>
        <w:t xml:space="preserve"> employer and</w:t>
      </w:r>
      <w:r w:rsidR="00124672">
        <w:rPr>
          <w:lang w:val="en-US"/>
        </w:rPr>
        <w:t xml:space="preserve"> the</w:t>
      </w:r>
      <w:r w:rsidR="0096471D">
        <w:rPr>
          <w:lang w:val="en-US"/>
        </w:rPr>
        <w:t xml:space="preserve"> employee.</w:t>
      </w:r>
      <w:r w:rsidR="00E0186B">
        <w:rPr>
          <w:rStyle w:val="FootnoteReference"/>
          <w:lang w:val="en-US"/>
        </w:rPr>
        <w:footnoteReference w:id="16"/>
      </w:r>
    </w:p>
    <w:p w14:paraId="33488757" w14:textId="77777777" w:rsidR="00257B73" w:rsidRPr="001C52C8" w:rsidRDefault="00257B73" w:rsidP="00257B73">
      <w:pPr>
        <w:pStyle w:val="Heading2"/>
        <w:rPr>
          <w:rFonts w:ascii="Calibri Light" w:hAnsi="Calibri Light"/>
          <w:lang w:val="en-US"/>
        </w:rPr>
      </w:pPr>
      <w:r w:rsidRPr="001C52C8">
        <w:rPr>
          <w:rFonts w:ascii="Calibri Light" w:hAnsi="Calibri Light"/>
          <w:lang w:val="en-US"/>
        </w:rPr>
        <w:t>Provid</w:t>
      </w:r>
      <w:r w:rsidR="00FD690B" w:rsidRPr="001C52C8">
        <w:rPr>
          <w:rFonts w:ascii="Calibri Light" w:hAnsi="Calibri Light"/>
          <w:lang w:val="en-US"/>
        </w:rPr>
        <w:t>ers of Social Care and Support</w:t>
      </w:r>
      <w:r w:rsidRPr="001C52C8">
        <w:rPr>
          <w:rFonts w:ascii="Calibri Light" w:hAnsi="Calibri Light"/>
          <w:lang w:val="en-US"/>
        </w:rPr>
        <w:t xml:space="preserve"> Services for Persons with Disabilities</w:t>
      </w:r>
    </w:p>
    <w:p w14:paraId="007CD679" w14:textId="471C6911" w:rsidR="001B057E" w:rsidRPr="001B057E" w:rsidRDefault="005B3130" w:rsidP="001B057E">
      <w:pPr>
        <w:rPr>
          <w:lang w:val="en-US"/>
        </w:rPr>
      </w:pPr>
      <w:r>
        <w:rPr>
          <w:lang w:val="en-US"/>
        </w:rPr>
        <w:t xml:space="preserve">Social </w:t>
      </w:r>
      <w:r w:rsidR="00FD690B">
        <w:rPr>
          <w:lang w:val="en-US"/>
        </w:rPr>
        <w:t xml:space="preserve">care and support </w:t>
      </w:r>
      <w:r w:rsidR="00F117A6">
        <w:rPr>
          <w:lang w:val="en-US"/>
        </w:rPr>
        <w:t xml:space="preserve">services are provided by a large spectrum of organizations in </w:t>
      </w:r>
      <w:r w:rsidR="00DD38B2">
        <w:rPr>
          <w:lang w:val="en-US"/>
        </w:rPr>
        <w:t>Austria;</w:t>
      </w:r>
      <w:r w:rsidR="006D28E7">
        <w:rPr>
          <w:lang w:val="en-US"/>
        </w:rPr>
        <w:t xml:space="preserve"> however, no </w:t>
      </w:r>
      <w:r w:rsidR="002D094A">
        <w:rPr>
          <w:lang w:val="en-US"/>
        </w:rPr>
        <w:t>centralized information on the state of the sector seems to be available</w:t>
      </w:r>
      <w:r w:rsidR="004E46F7">
        <w:rPr>
          <w:lang w:val="en-US"/>
        </w:rPr>
        <w:t>. T</w:t>
      </w:r>
      <w:r w:rsidR="00F117A6">
        <w:rPr>
          <w:lang w:val="en-US"/>
        </w:rPr>
        <w:t>he ministry of social affairs provides a database</w:t>
      </w:r>
      <w:r w:rsidR="005C533C">
        <w:rPr>
          <w:lang w:val="en-US"/>
        </w:rPr>
        <w:t xml:space="preserve"> called “Austria Social”</w:t>
      </w:r>
      <w:r w:rsidR="00CF367C">
        <w:rPr>
          <w:lang w:val="en-US"/>
        </w:rPr>
        <w:t xml:space="preserve"> containing</w:t>
      </w:r>
      <w:r w:rsidR="00F117A6">
        <w:rPr>
          <w:lang w:val="en-US"/>
        </w:rPr>
        <w:t xml:space="preserve"> service</w:t>
      </w:r>
      <w:r w:rsidR="00885A2F">
        <w:rPr>
          <w:lang w:val="en-US"/>
        </w:rPr>
        <w:t xml:space="preserve"> providers </w:t>
      </w:r>
      <w:r w:rsidR="00CF367C">
        <w:rPr>
          <w:lang w:val="en-US"/>
        </w:rPr>
        <w:t>all across</w:t>
      </w:r>
      <w:r w:rsidR="00885A2F">
        <w:rPr>
          <w:lang w:val="en-US"/>
        </w:rPr>
        <w:t xml:space="preserve"> Austria that lists</w:t>
      </w:r>
      <w:r w:rsidR="00E81FFB">
        <w:rPr>
          <w:lang w:val="en-US"/>
        </w:rPr>
        <w:t xml:space="preserve"> 95 organizations </w:t>
      </w:r>
      <w:r w:rsidR="000100A3">
        <w:rPr>
          <w:lang w:val="en-US"/>
        </w:rPr>
        <w:t>offering</w:t>
      </w:r>
      <w:r w:rsidR="00885A2F">
        <w:rPr>
          <w:lang w:val="en-US"/>
        </w:rPr>
        <w:t xml:space="preserve"> services like care, legal or work assistance, </w:t>
      </w:r>
      <w:r w:rsidR="00F117A6">
        <w:rPr>
          <w:lang w:val="en-US"/>
        </w:rPr>
        <w:t xml:space="preserve">907 residential facilities, </w:t>
      </w:r>
      <w:r w:rsidR="00885A2F">
        <w:rPr>
          <w:lang w:val="en-US"/>
        </w:rPr>
        <w:t>and 991 social service providers.</w:t>
      </w:r>
      <w:r w:rsidR="00885A2F">
        <w:rPr>
          <w:rStyle w:val="FootnoteReference"/>
          <w:lang w:val="en-US"/>
        </w:rPr>
        <w:footnoteReference w:id="17"/>
      </w:r>
      <w:r w:rsidR="00E4581B">
        <w:rPr>
          <w:lang w:val="en-US"/>
        </w:rPr>
        <w:t xml:space="preserve"> Even though this data is not exhaustive, it still provides a good overview of the shape of the sector</w:t>
      </w:r>
      <w:r w:rsidR="009F13CB">
        <w:rPr>
          <w:lang w:val="en-US"/>
        </w:rPr>
        <w:t xml:space="preserve">: The list contains </w:t>
      </w:r>
      <w:r w:rsidR="00485F72">
        <w:rPr>
          <w:lang w:val="en-US"/>
        </w:rPr>
        <w:t xml:space="preserve">public, </w:t>
      </w:r>
      <w:r w:rsidR="009F13CB">
        <w:rPr>
          <w:lang w:val="en-US"/>
        </w:rPr>
        <w:t>ecclesiastical, non-profit and private institutions and also individuals</w:t>
      </w:r>
      <w:r w:rsidR="00F01BBB">
        <w:rPr>
          <w:lang w:val="en-US"/>
        </w:rPr>
        <w:t xml:space="preserve"> that are active in the sector</w:t>
      </w:r>
      <w:r w:rsidR="00E4581B">
        <w:rPr>
          <w:lang w:val="en-US"/>
        </w:rPr>
        <w:t>.</w:t>
      </w:r>
      <w:r w:rsidR="00EA3844">
        <w:rPr>
          <w:lang w:val="en-US"/>
        </w:rPr>
        <w:t xml:space="preserve"> </w:t>
      </w:r>
      <w:r w:rsidR="00AF24BA">
        <w:rPr>
          <w:lang w:val="en-US"/>
        </w:rPr>
        <w:t>Currently</w:t>
      </w:r>
      <w:r w:rsidR="00EA3844">
        <w:rPr>
          <w:lang w:val="en-US"/>
        </w:rPr>
        <w:t xml:space="preserve">, there are 12,312 one-person-businesses </w:t>
      </w:r>
      <w:r w:rsidR="004F65A3">
        <w:rPr>
          <w:lang w:val="en-US"/>
        </w:rPr>
        <w:t>in the health sector, part of which provide services for persons with disabilities.</w:t>
      </w:r>
      <w:r w:rsidR="009C625D">
        <w:rPr>
          <w:rStyle w:val="FootnoteReference"/>
          <w:lang w:val="en-US"/>
        </w:rPr>
        <w:footnoteReference w:id="18"/>
      </w:r>
    </w:p>
    <w:p w14:paraId="503C8678" w14:textId="77777777" w:rsidR="00C7713B" w:rsidRPr="001C52C8" w:rsidRDefault="00C7713B" w:rsidP="00C7713B">
      <w:pPr>
        <w:pStyle w:val="Heading1"/>
        <w:rPr>
          <w:rFonts w:ascii="Calibri Light" w:hAnsi="Calibri Light"/>
          <w:sz w:val="32"/>
          <w:szCs w:val="32"/>
          <w:lang w:val="en-US"/>
        </w:rPr>
      </w:pPr>
      <w:r w:rsidRPr="001C52C8">
        <w:rPr>
          <w:rFonts w:ascii="Calibri Light" w:hAnsi="Calibri Light"/>
          <w:sz w:val="32"/>
          <w:szCs w:val="32"/>
          <w:lang w:val="en-US"/>
        </w:rPr>
        <w:t>Legal Framework</w:t>
      </w:r>
      <w:r w:rsidR="000A31F6" w:rsidRPr="001C52C8">
        <w:rPr>
          <w:rFonts w:ascii="Calibri Light" w:hAnsi="Calibri Light"/>
          <w:sz w:val="32"/>
          <w:szCs w:val="32"/>
          <w:lang w:val="en-US"/>
        </w:rPr>
        <w:t xml:space="preserve"> of Working Time and Rest in Austria</w:t>
      </w:r>
    </w:p>
    <w:p w14:paraId="3CFF915F" w14:textId="77777777" w:rsidR="001F58AE" w:rsidRPr="001F58AE" w:rsidRDefault="006B26B2" w:rsidP="001F58AE">
      <w:pPr>
        <w:rPr>
          <w:lang w:val="en-US"/>
        </w:rPr>
      </w:pPr>
      <w:r>
        <w:rPr>
          <w:lang w:val="en-US"/>
        </w:rPr>
        <w:t>Austrian Labo</w:t>
      </w:r>
      <w:r w:rsidR="001F58AE">
        <w:rPr>
          <w:lang w:val="en-US"/>
        </w:rPr>
        <w:t xml:space="preserve">r Law is characterized by particularities and sectoral subtleties. Hereafter, only the most important general principles and significant features </w:t>
      </w:r>
      <w:r w:rsidR="00FD690B">
        <w:rPr>
          <w:lang w:val="en-US"/>
        </w:rPr>
        <w:t>of the social care and support</w:t>
      </w:r>
      <w:r w:rsidR="001F58AE">
        <w:rPr>
          <w:lang w:val="en-US"/>
        </w:rPr>
        <w:t xml:space="preserve"> services sector shall be taken into account.</w:t>
      </w:r>
      <w:r w:rsidR="00157F2F">
        <w:rPr>
          <w:lang w:val="en-US"/>
        </w:rPr>
        <w:t xml:space="preserve"> Depending on what exact service is provi</w:t>
      </w:r>
      <w:r w:rsidR="00FD690B">
        <w:rPr>
          <w:lang w:val="en-US"/>
        </w:rPr>
        <w:t>ded by social care and support</w:t>
      </w:r>
      <w:r w:rsidR="00157F2F">
        <w:rPr>
          <w:lang w:val="en-US"/>
        </w:rPr>
        <w:t xml:space="preserve"> services staff, </w:t>
      </w:r>
      <w:r w:rsidR="00157F2F" w:rsidRPr="001C52C8">
        <w:rPr>
          <w:lang w:val="en-US"/>
        </w:rPr>
        <w:t>different working time and rest periods law is applicable</w:t>
      </w:r>
      <w:r w:rsidR="009F65FA" w:rsidRPr="001C52C8">
        <w:rPr>
          <w:lang w:val="en-US"/>
        </w:rPr>
        <w:t>.</w:t>
      </w:r>
    </w:p>
    <w:p w14:paraId="3378BE68" w14:textId="77777777" w:rsidR="00BF7943" w:rsidRPr="001C52C8" w:rsidRDefault="00BF7943" w:rsidP="00A85A74">
      <w:pPr>
        <w:pStyle w:val="Heading2"/>
        <w:rPr>
          <w:rFonts w:ascii="Calibri Light" w:hAnsi="Calibri Light"/>
          <w:lang w:val="en-US"/>
        </w:rPr>
      </w:pPr>
      <w:r w:rsidRPr="001C52C8">
        <w:rPr>
          <w:rFonts w:ascii="Calibri Light" w:hAnsi="Calibri Light"/>
          <w:lang w:val="en-US"/>
        </w:rPr>
        <w:t>EU Law &amp; National Legislation</w:t>
      </w:r>
    </w:p>
    <w:p w14:paraId="3A2D6DE7" w14:textId="3F55F995" w:rsidR="005476E3" w:rsidRDefault="009148E4" w:rsidP="009148E4">
      <w:pPr>
        <w:rPr>
          <w:lang w:val="en-US"/>
        </w:rPr>
      </w:pPr>
      <w:r>
        <w:rPr>
          <w:lang w:val="en-US"/>
        </w:rPr>
        <w:t>Since Austria’s accession to the European Economic Area in 1994 and the subsequent accession to the European Union (1995),</w:t>
      </w:r>
      <w:r w:rsidR="00AF24BA">
        <w:rPr>
          <w:lang w:val="en-US"/>
        </w:rPr>
        <w:t xml:space="preserve"> </w:t>
      </w:r>
      <w:r>
        <w:rPr>
          <w:lang w:val="en-US"/>
        </w:rPr>
        <w:t>EU directives have to be transposed into national law. With regards to working time</w:t>
      </w:r>
      <w:r w:rsidR="00B7268E">
        <w:rPr>
          <w:lang w:val="en-US"/>
        </w:rPr>
        <w:t xml:space="preserve"> and rest periods</w:t>
      </w:r>
      <w:r>
        <w:rPr>
          <w:lang w:val="en-US"/>
        </w:rPr>
        <w:t>, this was</w:t>
      </w:r>
      <w:r w:rsidR="00B7268E">
        <w:rPr>
          <w:lang w:val="en-US"/>
        </w:rPr>
        <w:t xml:space="preserve"> already the case</w:t>
      </w:r>
      <w:r>
        <w:rPr>
          <w:lang w:val="en-US"/>
        </w:rPr>
        <w:t xml:space="preserve"> upon accession to the EU</w:t>
      </w:r>
      <w:r w:rsidR="00B7268E">
        <w:rPr>
          <w:lang w:val="en-US"/>
        </w:rPr>
        <w:t>:</w:t>
      </w:r>
      <w:r>
        <w:rPr>
          <w:lang w:val="en-US"/>
        </w:rPr>
        <w:t xml:space="preserve"> </w:t>
      </w:r>
      <w:r w:rsidR="00B7268E">
        <w:rPr>
          <w:lang w:val="en-US"/>
        </w:rPr>
        <w:t xml:space="preserve">The requirements </w:t>
      </w:r>
      <w:r w:rsidR="00B7268E">
        <w:rPr>
          <w:lang w:val="en-US"/>
        </w:rPr>
        <w:lastRenderedPageBreak/>
        <w:t xml:space="preserve">of </w:t>
      </w:r>
      <w:r w:rsidR="00B7268E" w:rsidRPr="00B7268E">
        <w:rPr>
          <w:lang w:val="en-US"/>
        </w:rPr>
        <w:t>D</w:t>
      </w:r>
      <w:r w:rsidRPr="00B7268E">
        <w:rPr>
          <w:lang w:val="en-US"/>
        </w:rPr>
        <w:t xml:space="preserve">irective </w:t>
      </w:r>
      <w:r w:rsidR="00B7268E" w:rsidRPr="00B7268E">
        <w:rPr>
          <w:lang w:val="en-US"/>
        </w:rPr>
        <w:t xml:space="preserve">93/104/EG </w:t>
      </w:r>
      <w:r w:rsidR="00B7268E">
        <w:rPr>
          <w:lang w:val="en-US"/>
        </w:rPr>
        <w:t>were to be met by</w:t>
      </w:r>
      <w:r w:rsidR="00B7268E" w:rsidRPr="00B7268E">
        <w:rPr>
          <w:lang w:val="en-US"/>
        </w:rPr>
        <w:t xml:space="preserve"> the</w:t>
      </w:r>
      <w:r w:rsidR="00880C90">
        <w:rPr>
          <w:lang w:val="en-US"/>
        </w:rPr>
        <w:t xml:space="preserve"> main</w:t>
      </w:r>
      <w:r w:rsidR="00B7268E" w:rsidRPr="00B7268E">
        <w:rPr>
          <w:lang w:val="en-US"/>
        </w:rPr>
        <w:t xml:space="preserve"> Austrian implementation provisions </w:t>
      </w:r>
      <w:r w:rsidR="00B7268E" w:rsidRPr="00B7268E">
        <w:rPr>
          <w:i/>
          <w:lang w:val="en-US"/>
        </w:rPr>
        <w:t xml:space="preserve">Arbeitszeitgesetz </w:t>
      </w:r>
      <w:r w:rsidR="00B7268E" w:rsidRPr="00B7268E">
        <w:rPr>
          <w:lang w:val="en-US"/>
        </w:rPr>
        <w:t>(Working Hours Act</w:t>
      </w:r>
      <w:r w:rsidR="00824E9D">
        <w:rPr>
          <w:lang w:val="en-US"/>
        </w:rPr>
        <w:t>, being the general catalogue of norms</w:t>
      </w:r>
      <w:r w:rsidR="00B7268E" w:rsidRPr="00B7268E">
        <w:rPr>
          <w:lang w:val="en-US"/>
        </w:rPr>
        <w:t xml:space="preserve">), the </w:t>
      </w:r>
      <w:r w:rsidR="00B7268E" w:rsidRPr="00B7268E">
        <w:rPr>
          <w:i/>
          <w:lang w:val="en-US"/>
        </w:rPr>
        <w:t xml:space="preserve">Krankenanstalten-Arbeitszeitgesetz </w:t>
      </w:r>
      <w:r w:rsidR="00B7268E" w:rsidRPr="00B7268E">
        <w:rPr>
          <w:lang w:val="en-US"/>
        </w:rPr>
        <w:t>(Hosp</w:t>
      </w:r>
      <w:r w:rsidR="00B7268E">
        <w:rPr>
          <w:lang w:val="en-US"/>
        </w:rPr>
        <w:t>ital Working Hours Act</w:t>
      </w:r>
      <w:r w:rsidR="00824E9D">
        <w:rPr>
          <w:lang w:val="en-US"/>
        </w:rPr>
        <w:t>, applicable to certain types of facilities and workforce</w:t>
      </w:r>
      <w:r w:rsidR="00B7268E">
        <w:rPr>
          <w:lang w:val="en-US"/>
        </w:rPr>
        <w:t>) and</w:t>
      </w:r>
      <w:r w:rsidR="003D1FB0">
        <w:rPr>
          <w:lang w:val="en-US"/>
        </w:rPr>
        <w:t xml:space="preserve"> the</w:t>
      </w:r>
      <w:r w:rsidR="00B7268E">
        <w:rPr>
          <w:lang w:val="en-US"/>
        </w:rPr>
        <w:t xml:space="preserve"> </w:t>
      </w:r>
      <w:r w:rsidR="00B7268E">
        <w:rPr>
          <w:i/>
          <w:lang w:val="en-US"/>
        </w:rPr>
        <w:t xml:space="preserve">Arbeitsruhegesetz </w:t>
      </w:r>
      <w:r w:rsidR="00B7268E">
        <w:rPr>
          <w:lang w:val="en-US"/>
        </w:rPr>
        <w:t>(Act on Rest Periods).</w:t>
      </w:r>
      <w:r w:rsidR="00B7268E">
        <w:rPr>
          <w:rStyle w:val="FootnoteReference"/>
          <w:lang w:val="en-US"/>
        </w:rPr>
        <w:footnoteReference w:id="19"/>
      </w:r>
      <w:r w:rsidR="00DC4595">
        <w:rPr>
          <w:lang w:val="en-US"/>
        </w:rPr>
        <w:t xml:space="preserve"> </w:t>
      </w:r>
    </w:p>
    <w:p w14:paraId="7BDE13C0" w14:textId="77777777" w:rsidR="005476E3" w:rsidRPr="001C52C8" w:rsidRDefault="005476E3" w:rsidP="005476E3">
      <w:pPr>
        <w:pStyle w:val="Heading3"/>
        <w:rPr>
          <w:rFonts w:ascii="Calibri Light" w:hAnsi="Calibri Light"/>
          <w:sz w:val="24"/>
          <w:szCs w:val="24"/>
          <w:lang w:val="en-US"/>
        </w:rPr>
      </w:pPr>
      <w:r w:rsidRPr="001C52C8">
        <w:rPr>
          <w:rFonts w:ascii="Calibri Light" w:hAnsi="Calibri Light"/>
          <w:sz w:val="24"/>
          <w:szCs w:val="24"/>
          <w:lang w:val="en-US"/>
        </w:rPr>
        <w:t>Transposition into National Law</w:t>
      </w:r>
    </w:p>
    <w:p w14:paraId="11A8AEFB" w14:textId="77777777" w:rsidR="00F20011" w:rsidRDefault="00F437A6" w:rsidP="009148E4">
      <w:pPr>
        <w:rPr>
          <w:lang w:val="en-US"/>
        </w:rPr>
      </w:pPr>
      <w:r>
        <w:rPr>
          <w:lang w:val="en-US"/>
        </w:rPr>
        <w:t>§32 (1) of the</w:t>
      </w:r>
      <w:r w:rsidR="00A84F3A">
        <w:rPr>
          <w:lang w:val="en-US"/>
        </w:rPr>
        <w:t xml:space="preserve"> Austrian</w:t>
      </w:r>
      <w:r>
        <w:rPr>
          <w:lang w:val="en-US"/>
        </w:rPr>
        <w:t xml:space="preserve"> Working Hours Act </w:t>
      </w:r>
      <w:r w:rsidR="00EC13DF">
        <w:rPr>
          <w:lang w:val="en-US"/>
        </w:rPr>
        <w:t>expressly</w:t>
      </w:r>
      <w:r>
        <w:rPr>
          <w:lang w:val="en-US"/>
        </w:rPr>
        <w:t xml:space="preserve"> refers to the</w:t>
      </w:r>
      <w:r w:rsidR="00A76205">
        <w:rPr>
          <w:lang w:val="en-US"/>
        </w:rPr>
        <w:t xml:space="preserve"> present</w:t>
      </w:r>
      <w:r>
        <w:rPr>
          <w:lang w:val="en-US"/>
        </w:rPr>
        <w:t xml:space="preserve"> WTD,</w:t>
      </w:r>
      <w:r w:rsidR="00A76205">
        <w:rPr>
          <w:lang w:val="en-US"/>
        </w:rPr>
        <w:t xml:space="preserve"> directive 2003/88/EG,</w:t>
      </w:r>
      <w:r>
        <w:rPr>
          <w:lang w:val="en-US"/>
        </w:rPr>
        <w:t xml:space="preserve"> stating that the Act implements</w:t>
      </w:r>
      <w:r w:rsidR="00F04084">
        <w:rPr>
          <w:lang w:val="en-US"/>
        </w:rPr>
        <w:t>, among other EU norms,</w:t>
      </w:r>
      <w:r>
        <w:rPr>
          <w:lang w:val="en-US"/>
        </w:rPr>
        <w:t xml:space="preserve"> the directive</w:t>
      </w:r>
      <w:r w:rsidR="00F04084">
        <w:rPr>
          <w:lang w:val="en-US"/>
        </w:rPr>
        <w:t xml:space="preserve"> in question</w:t>
      </w:r>
      <w:r>
        <w:rPr>
          <w:lang w:val="en-US"/>
        </w:rPr>
        <w:t>.</w:t>
      </w:r>
      <w:r w:rsidR="00A84F3A">
        <w:rPr>
          <w:lang w:val="en-US"/>
        </w:rPr>
        <w:t xml:space="preserve"> However, this is a mere declaration and has, according to academia, “no special value”.</w:t>
      </w:r>
      <w:r w:rsidR="008E6D0F">
        <w:rPr>
          <w:rStyle w:val="FootnoteReference"/>
          <w:lang w:val="en-US"/>
        </w:rPr>
        <w:footnoteReference w:id="20"/>
      </w:r>
      <w:r w:rsidR="00A84F3A">
        <w:rPr>
          <w:lang w:val="en-US"/>
        </w:rPr>
        <w:t xml:space="preserve"> The present Austrian regulations therefore have to be evaluated paragraph by paragraph and measured by the material content of the WTD.</w:t>
      </w:r>
      <w:r w:rsidR="00C4788C">
        <w:rPr>
          <w:lang w:val="en-US"/>
        </w:rPr>
        <w:t xml:space="preserve"> </w:t>
      </w:r>
    </w:p>
    <w:p w14:paraId="0F4D7AF9" w14:textId="3DE5686F" w:rsidR="004A137A" w:rsidRPr="006812A7" w:rsidRDefault="00D510A6" w:rsidP="009148E4">
      <w:pPr>
        <w:rPr>
          <w:lang w:val="en-US"/>
        </w:rPr>
      </w:pPr>
      <w:r>
        <w:rPr>
          <w:lang w:val="en-US"/>
        </w:rPr>
        <w:t>The limit for “n</w:t>
      </w:r>
      <w:r w:rsidR="005A0B43">
        <w:rPr>
          <w:lang w:val="en-US"/>
        </w:rPr>
        <w:t>ormal”</w:t>
      </w:r>
      <w:r w:rsidR="006E43AC">
        <w:rPr>
          <w:lang w:val="en-US"/>
        </w:rPr>
        <w:t xml:space="preserve"> </w:t>
      </w:r>
      <w:r w:rsidR="002D4F32">
        <w:rPr>
          <w:lang w:val="en-US"/>
        </w:rPr>
        <w:t>working time is defined in the Working Hours Act</w:t>
      </w:r>
      <w:r w:rsidR="005A0B43">
        <w:rPr>
          <w:lang w:val="en-US"/>
        </w:rPr>
        <w:t xml:space="preserve"> as 8 daily hours and 40 weekly hours</w:t>
      </w:r>
      <w:r w:rsidR="009F7B84">
        <w:rPr>
          <w:lang w:val="en-US"/>
        </w:rPr>
        <w:t>, w</w:t>
      </w:r>
      <w:r w:rsidR="0087691C">
        <w:rPr>
          <w:lang w:val="en-US"/>
        </w:rPr>
        <w:t>ith the possibility to extend</w:t>
      </w:r>
      <w:r w:rsidR="009F7B84">
        <w:rPr>
          <w:lang w:val="en-US"/>
        </w:rPr>
        <w:t xml:space="preserve"> daily normal working time to 10 hours</w:t>
      </w:r>
      <w:r w:rsidR="005336D2">
        <w:rPr>
          <w:lang w:val="en-US"/>
        </w:rPr>
        <w:t xml:space="preserve"> by collective agreement</w:t>
      </w:r>
      <w:r w:rsidR="00495783">
        <w:rPr>
          <w:lang w:val="en-US"/>
        </w:rPr>
        <w:t xml:space="preserve"> for </w:t>
      </w:r>
      <w:r w:rsidR="00713E1A">
        <w:rPr>
          <w:lang w:val="en-US"/>
        </w:rPr>
        <w:t>a</w:t>
      </w:r>
      <w:r w:rsidR="00495783">
        <w:rPr>
          <w:lang w:val="en-US"/>
        </w:rPr>
        <w:t xml:space="preserve"> sector (</w:t>
      </w:r>
      <w:r w:rsidR="00495783">
        <w:rPr>
          <w:i/>
          <w:lang w:val="en-US"/>
        </w:rPr>
        <w:t>“Kollektivvertrag”</w:t>
      </w:r>
      <w:r w:rsidR="00495783">
        <w:rPr>
          <w:lang w:val="en-US"/>
        </w:rPr>
        <w:t>)</w:t>
      </w:r>
      <w:r w:rsidR="005A0B43">
        <w:rPr>
          <w:lang w:val="en-US"/>
        </w:rPr>
        <w:t>.</w:t>
      </w:r>
      <w:r w:rsidR="00E973E0">
        <w:rPr>
          <w:rStyle w:val="FootnoteReference"/>
          <w:lang w:val="en-US"/>
        </w:rPr>
        <w:footnoteReference w:id="21"/>
      </w:r>
      <w:r w:rsidR="005A0B43">
        <w:rPr>
          <w:lang w:val="en-US"/>
        </w:rPr>
        <w:t xml:space="preserve"> </w:t>
      </w:r>
      <w:r w:rsidR="006E43AC">
        <w:rPr>
          <w:lang w:val="en-US"/>
        </w:rPr>
        <w:t>For shift work, daily working time may not exceed 9 hours,</w:t>
      </w:r>
      <w:r w:rsidR="00AA1621">
        <w:rPr>
          <w:lang w:val="en-US"/>
        </w:rPr>
        <w:t xml:space="preserve"> with a weekly maximum of 40 hours</w:t>
      </w:r>
      <w:r w:rsidR="006E43AC">
        <w:rPr>
          <w:lang w:val="en-US"/>
        </w:rPr>
        <w:t>.</w:t>
      </w:r>
      <w:r w:rsidR="00714075">
        <w:rPr>
          <w:rStyle w:val="FootnoteReference"/>
          <w:lang w:val="en-US"/>
        </w:rPr>
        <w:footnoteReference w:id="22"/>
      </w:r>
      <w:r w:rsidR="006812A7">
        <w:rPr>
          <w:lang w:val="en-US"/>
        </w:rPr>
        <w:t xml:space="preserve"> </w:t>
      </w:r>
      <w:r w:rsidR="006812A7" w:rsidRPr="001C52C8">
        <w:rPr>
          <w:lang w:val="en-US"/>
        </w:rPr>
        <w:t>Flexitime</w:t>
      </w:r>
      <w:r w:rsidR="006812A7">
        <w:rPr>
          <w:lang w:val="en-US"/>
        </w:rPr>
        <w:t xml:space="preserve"> may be introduced by collective agreement at the level of an individual business or company (“</w:t>
      </w:r>
      <w:r w:rsidR="006812A7">
        <w:rPr>
          <w:i/>
          <w:lang w:val="en-US"/>
        </w:rPr>
        <w:t>Betriebsvereinbarung”</w:t>
      </w:r>
      <w:r w:rsidR="006812A7">
        <w:rPr>
          <w:lang w:val="en-US"/>
        </w:rPr>
        <w:t>).</w:t>
      </w:r>
      <w:r w:rsidR="00537EBF">
        <w:rPr>
          <w:rStyle w:val="FootnoteReference"/>
          <w:lang w:val="en-US"/>
        </w:rPr>
        <w:footnoteReference w:id="23"/>
      </w:r>
      <w:r w:rsidR="008A2959">
        <w:rPr>
          <w:lang w:val="en-US"/>
        </w:rPr>
        <w:t xml:space="preserve"> In the case of standby duty, weekly normal working time may be extended to 60 hours and daily working time to 12 hours by collective agreement</w:t>
      </w:r>
      <w:r w:rsidR="000C14D6">
        <w:rPr>
          <w:lang w:val="en-US"/>
        </w:rPr>
        <w:t xml:space="preserve"> on the sectoral </w:t>
      </w:r>
      <w:r w:rsidR="000C14D6">
        <w:rPr>
          <w:i/>
          <w:lang w:val="en-US"/>
        </w:rPr>
        <w:t xml:space="preserve">and </w:t>
      </w:r>
      <w:r w:rsidR="000C14D6">
        <w:rPr>
          <w:lang w:val="en-US"/>
        </w:rPr>
        <w:t>company level</w:t>
      </w:r>
      <w:r w:rsidR="008A2959">
        <w:rPr>
          <w:lang w:val="en-US"/>
        </w:rPr>
        <w:t>.</w:t>
      </w:r>
      <w:r w:rsidR="008A2959">
        <w:rPr>
          <w:rStyle w:val="FootnoteReference"/>
          <w:lang w:val="en-US"/>
        </w:rPr>
        <w:footnoteReference w:id="24"/>
      </w:r>
      <w:r w:rsidR="00713E1A">
        <w:rPr>
          <w:lang w:val="en-US"/>
        </w:rPr>
        <w:t xml:space="preserve"> </w:t>
      </w:r>
      <w:r>
        <w:rPr>
          <w:lang w:val="en-US"/>
        </w:rPr>
        <w:t xml:space="preserve">The </w:t>
      </w:r>
      <w:r w:rsidR="001D5588">
        <w:rPr>
          <w:lang w:val="en-US"/>
        </w:rPr>
        <w:t>outmost boundaries</w:t>
      </w:r>
      <w:r>
        <w:rPr>
          <w:lang w:val="en-US"/>
        </w:rPr>
        <w:t xml:space="preserve"> </w:t>
      </w:r>
      <w:r w:rsidR="001D5588">
        <w:rPr>
          <w:lang w:val="en-US"/>
        </w:rPr>
        <w:t>for</w:t>
      </w:r>
      <w:r>
        <w:rPr>
          <w:lang w:val="en-US"/>
        </w:rPr>
        <w:t xml:space="preserve"> weekly working time</w:t>
      </w:r>
      <w:r w:rsidR="00FD3413">
        <w:rPr>
          <w:lang w:val="en-US"/>
        </w:rPr>
        <w:t xml:space="preserve"> (= average working time as defined by the WTD)</w:t>
      </w:r>
      <w:r w:rsidR="00942719">
        <w:rPr>
          <w:lang w:val="en-US"/>
        </w:rPr>
        <w:t xml:space="preserve"> is 48 hours, with a reference period of</w:t>
      </w:r>
      <w:r w:rsidR="003C0947">
        <w:rPr>
          <w:lang w:val="en-US"/>
        </w:rPr>
        <w:t xml:space="preserve"> 17 weeks/</w:t>
      </w:r>
      <w:r w:rsidR="00942719">
        <w:rPr>
          <w:lang w:val="en-US"/>
        </w:rPr>
        <w:t>4 months, as required by the WTD.</w:t>
      </w:r>
      <w:r w:rsidR="00942719">
        <w:rPr>
          <w:rStyle w:val="FootnoteReference"/>
          <w:lang w:val="en-US"/>
        </w:rPr>
        <w:footnoteReference w:id="25"/>
      </w:r>
      <w:r w:rsidR="000A361C">
        <w:rPr>
          <w:lang w:val="en-US"/>
        </w:rPr>
        <w:t xml:space="preserve"> The Working Hours Act, however, allows exceptions for certain sectors and types of work</w:t>
      </w:r>
      <w:r w:rsidR="00351CFF">
        <w:rPr>
          <w:lang w:val="en-US"/>
        </w:rPr>
        <w:t xml:space="preserve">, </w:t>
      </w:r>
      <w:r w:rsidR="00832528">
        <w:rPr>
          <w:lang w:val="en-US"/>
        </w:rPr>
        <w:t xml:space="preserve"> for instance:</w:t>
      </w:r>
      <w:r w:rsidR="001D5588">
        <w:rPr>
          <w:lang w:val="en-US"/>
        </w:rPr>
        <w:t xml:space="preserve"> as indicated above, in the case of standby duty, </w:t>
      </w:r>
      <w:r w:rsidR="00351CFF">
        <w:rPr>
          <w:lang w:val="en-US"/>
        </w:rPr>
        <w:t>which is seen as problematic by experts</w:t>
      </w:r>
      <w:r w:rsidR="00157F2F">
        <w:rPr>
          <w:lang w:val="en-US"/>
        </w:rPr>
        <w:t xml:space="preserve"> in the light of the rules of the WTD</w:t>
      </w:r>
      <w:r w:rsidR="00351CFF">
        <w:rPr>
          <w:lang w:val="en-US"/>
        </w:rPr>
        <w:t>.</w:t>
      </w:r>
      <w:r w:rsidR="000A361C">
        <w:rPr>
          <w:rStyle w:val="FootnoteReference"/>
          <w:lang w:val="en-US"/>
        </w:rPr>
        <w:footnoteReference w:id="26"/>
      </w:r>
      <w:r w:rsidR="00AC5BB8">
        <w:rPr>
          <w:lang w:val="en-US"/>
        </w:rPr>
        <w:t xml:space="preserve"> Contemporary discussions about working time in the sec</w:t>
      </w:r>
      <w:r w:rsidR="00FD690B">
        <w:rPr>
          <w:lang w:val="en-US"/>
        </w:rPr>
        <w:t>tor of social care and support</w:t>
      </w:r>
      <w:r w:rsidR="00AC5BB8">
        <w:rPr>
          <w:lang w:val="en-US"/>
        </w:rPr>
        <w:t xml:space="preserve"> services are elaborated on below (“Social Partners, Collective Agreements and Their Significance”).</w:t>
      </w:r>
    </w:p>
    <w:p w14:paraId="2A73673E" w14:textId="77777777" w:rsidR="00767C26" w:rsidRDefault="000E19E9" w:rsidP="009148E4">
      <w:pPr>
        <w:rPr>
          <w:lang w:val="en-US"/>
        </w:rPr>
      </w:pPr>
      <w:r>
        <w:rPr>
          <w:lang w:val="en-US"/>
        </w:rPr>
        <w:t>In contrast to the particularities described above,</w:t>
      </w:r>
      <w:r w:rsidR="007B78FC">
        <w:rPr>
          <w:lang w:val="en-US"/>
        </w:rPr>
        <w:t xml:space="preserve"> the implementation of EU</w:t>
      </w:r>
      <w:r>
        <w:rPr>
          <w:lang w:val="en-US"/>
        </w:rPr>
        <w:t xml:space="preserve"> working time</w:t>
      </w:r>
      <w:r w:rsidR="007B78FC">
        <w:rPr>
          <w:lang w:val="en-US"/>
        </w:rPr>
        <w:t xml:space="preserve"> law</w:t>
      </w:r>
      <w:r w:rsidR="00883537">
        <w:rPr>
          <w:lang w:val="en-US"/>
        </w:rPr>
        <w:t xml:space="preserve"> by the Austrian legislator</w:t>
      </w:r>
      <w:r w:rsidR="007B78FC">
        <w:rPr>
          <w:lang w:val="en-US"/>
        </w:rPr>
        <w:t xml:space="preserve"> </w:t>
      </w:r>
      <w:r w:rsidR="00E607AC">
        <w:rPr>
          <w:lang w:val="en-US"/>
        </w:rPr>
        <w:t>was mostly unproblematic</w:t>
      </w:r>
      <w:r w:rsidR="00227EDD">
        <w:rPr>
          <w:lang w:val="en-US"/>
        </w:rPr>
        <w:t xml:space="preserve"> overall</w:t>
      </w:r>
      <w:r>
        <w:rPr>
          <w:lang w:val="en-US"/>
        </w:rPr>
        <w:t>.</w:t>
      </w:r>
      <w:r w:rsidR="00C4788C">
        <w:rPr>
          <w:lang w:val="en-US"/>
        </w:rPr>
        <w:t xml:space="preserve"> </w:t>
      </w:r>
      <w:r w:rsidR="00FB0E87">
        <w:rPr>
          <w:lang w:val="en-US"/>
        </w:rPr>
        <w:t xml:space="preserve">The </w:t>
      </w:r>
      <w:r w:rsidR="00767C26">
        <w:rPr>
          <w:lang w:val="en-US"/>
        </w:rPr>
        <w:t>health</w:t>
      </w:r>
      <w:r w:rsidR="006B597B">
        <w:rPr>
          <w:lang w:val="en-US"/>
        </w:rPr>
        <w:t xml:space="preserve"> and care</w:t>
      </w:r>
      <w:r w:rsidR="00767C26">
        <w:rPr>
          <w:lang w:val="en-US"/>
        </w:rPr>
        <w:t xml:space="preserve"> sector</w:t>
      </w:r>
      <w:r w:rsidR="006B597B">
        <w:rPr>
          <w:lang w:val="en-US"/>
        </w:rPr>
        <w:t>s</w:t>
      </w:r>
      <w:r w:rsidR="007034DE">
        <w:rPr>
          <w:lang w:val="en-US"/>
        </w:rPr>
        <w:t xml:space="preserve"> however</w:t>
      </w:r>
      <w:r w:rsidR="006B597B">
        <w:rPr>
          <w:lang w:val="en-US"/>
        </w:rPr>
        <w:t>,</w:t>
      </w:r>
      <w:r w:rsidR="001C54CD">
        <w:rPr>
          <w:lang w:val="en-US"/>
        </w:rPr>
        <w:t xml:space="preserve"> in parts of which</w:t>
      </w:r>
      <w:r w:rsidR="006B597B">
        <w:rPr>
          <w:lang w:val="en-US"/>
        </w:rPr>
        <w:t xml:space="preserve"> special </w:t>
      </w:r>
      <w:r w:rsidR="0028176D">
        <w:rPr>
          <w:lang w:val="en-US"/>
        </w:rPr>
        <w:t xml:space="preserve">Austrian legislation </w:t>
      </w:r>
      <w:r w:rsidR="008C2DC5">
        <w:rPr>
          <w:lang w:val="en-US"/>
        </w:rPr>
        <w:t>is applicable</w:t>
      </w:r>
      <w:r>
        <w:rPr>
          <w:lang w:val="en-US"/>
        </w:rPr>
        <w:t xml:space="preserve"> </w:t>
      </w:r>
      <w:r w:rsidR="00FB0E87">
        <w:rPr>
          <w:lang w:val="en-US"/>
        </w:rPr>
        <w:t>(t</w:t>
      </w:r>
      <w:r>
        <w:rPr>
          <w:lang w:val="en-US"/>
        </w:rPr>
        <w:t>he Hospital Working Hours Act</w:t>
      </w:r>
      <w:r w:rsidR="00FB0E87">
        <w:rPr>
          <w:lang w:val="en-US"/>
        </w:rPr>
        <w:t>), have been in the center of the discussions about working time in Austria</w:t>
      </w:r>
      <w:r w:rsidR="00C4788C">
        <w:rPr>
          <w:lang w:val="en-US"/>
        </w:rPr>
        <w:t>.</w:t>
      </w:r>
      <w:r w:rsidR="00183772">
        <w:rPr>
          <w:lang w:val="en-US"/>
        </w:rPr>
        <w:t xml:space="preserve"> </w:t>
      </w:r>
      <w:r w:rsidR="008349DE">
        <w:rPr>
          <w:lang w:val="en-US"/>
        </w:rPr>
        <w:t>I</w:t>
      </w:r>
      <w:r w:rsidR="00183772">
        <w:rPr>
          <w:lang w:val="en-US"/>
        </w:rPr>
        <w:t>n 2010, a report</w:t>
      </w:r>
      <w:r w:rsidR="00E60DB9">
        <w:rPr>
          <w:lang w:val="en-US"/>
        </w:rPr>
        <w:t xml:space="preserve"> by the European Commission</w:t>
      </w:r>
      <w:r w:rsidR="00183772">
        <w:rPr>
          <w:lang w:val="en-US"/>
        </w:rPr>
        <w:t xml:space="preserve"> identified these</w:t>
      </w:r>
      <w:r w:rsidR="009037F0">
        <w:rPr>
          <w:lang w:val="en-US"/>
        </w:rPr>
        <w:t xml:space="preserve"> problematic</w:t>
      </w:r>
      <w:r w:rsidR="00183772">
        <w:rPr>
          <w:lang w:val="en-US"/>
        </w:rPr>
        <w:t xml:space="preserve"> areas</w:t>
      </w:r>
      <w:r w:rsidR="009037F0">
        <w:rPr>
          <w:lang w:val="en-US"/>
        </w:rPr>
        <w:t xml:space="preserve"> </w:t>
      </w:r>
      <w:r w:rsidR="00AA7508">
        <w:rPr>
          <w:lang w:val="en-US"/>
        </w:rPr>
        <w:t xml:space="preserve">where Austrian legislation was inconsistent with </w:t>
      </w:r>
      <w:r w:rsidR="009037F0">
        <w:rPr>
          <w:lang w:val="en-US"/>
        </w:rPr>
        <w:t xml:space="preserve">EU </w:t>
      </w:r>
      <w:r w:rsidR="009037F0">
        <w:rPr>
          <w:lang w:val="en-US"/>
        </w:rPr>
        <w:lastRenderedPageBreak/>
        <w:t>law</w:t>
      </w:r>
      <w:r w:rsidR="00183772">
        <w:rPr>
          <w:lang w:val="en-US"/>
        </w:rPr>
        <w:t>.</w:t>
      </w:r>
      <w:r w:rsidR="00C4788C">
        <w:rPr>
          <w:rStyle w:val="FootnoteReference"/>
          <w:lang w:val="en-US"/>
        </w:rPr>
        <w:footnoteReference w:id="27"/>
      </w:r>
      <w:r w:rsidR="00183772">
        <w:rPr>
          <w:lang w:val="en-US"/>
        </w:rPr>
        <w:t xml:space="preserve"> As a consequence, Austria was prompted to bring its laws in line with the WTD</w:t>
      </w:r>
      <w:r w:rsidR="00C65A66">
        <w:rPr>
          <w:lang w:val="en-US"/>
        </w:rPr>
        <w:t xml:space="preserve"> by the </w:t>
      </w:r>
      <w:r w:rsidR="00862611">
        <w:rPr>
          <w:lang w:val="en-US"/>
        </w:rPr>
        <w:t xml:space="preserve">European </w:t>
      </w:r>
      <w:r w:rsidR="00C65A66">
        <w:rPr>
          <w:lang w:val="en-US"/>
        </w:rPr>
        <w:t>Commission in 2014</w:t>
      </w:r>
      <w:r w:rsidR="00183772">
        <w:rPr>
          <w:lang w:val="en-US"/>
        </w:rPr>
        <w:t>.</w:t>
      </w:r>
    </w:p>
    <w:p w14:paraId="284C85A0" w14:textId="77777777" w:rsidR="006B597B" w:rsidRDefault="006B597B" w:rsidP="006B597B">
      <w:pPr>
        <w:pStyle w:val="Heading3"/>
        <w:rPr>
          <w:lang w:val="en-US"/>
        </w:rPr>
      </w:pPr>
      <w:r>
        <w:rPr>
          <w:lang w:val="en-US"/>
        </w:rPr>
        <w:t>Problematic Areas</w:t>
      </w:r>
    </w:p>
    <w:p w14:paraId="1AAF0546" w14:textId="77777777" w:rsidR="0032014C" w:rsidRDefault="006B597B" w:rsidP="00585001">
      <w:pPr>
        <w:rPr>
          <w:lang w:val="en-US"/>
        </w:rPr>
      </w:pPr>
      <w:r>
        <w:rPr>
          <w:lang w:val="en-US"/>
        </w:rPr>
        <w:t>The aforementioned</w:t>
      </w:r>
      <w:r w:rsidR="00E82F37">
        <w:rPr>
          <w:lang w:val="en-US"/>
        </w:rPr>
        <w:t xml:space="preserve"> irregularities</w:t>
      </w:r>
      <w:r>
        <w:rPr>
          <w:lang w:val="en-US"/>
        </w:rPr>
        <w:t xml:space="preserve"> indicated by the Commission report</w:t>
      </w:r>
      <w:r w:rsidR="00E82F37">
        <w:rPr>
          <w:lang w:val="en-US"/>
        </w:rPr>
        <w:t xml:space="preserve"> are highly</w:t>
      </w:r>
      <w:r w:rsidR="00716884">
        <w:rPr>
          <w:lang w:val="en-US"/>
        </w:rPr>
        <w:t xml:space="preserve"> relevant for this country report: </w:t>
      </w:r>
      <w:r w:rsidR="00C4788C">
        <w:rPr>
          <w:lang w:val="en-US"/>
        </w:rPr>
        <w:t>The Austrian Hospital Working Hours Act is, contrary to its name,</w:t>
      </w:r>
      <w:r w:rsidR="003B7A6D">
        <w:rPr>
          <w:lang w:val="en-US"/>
        </w:rPr>
        <w:t xml:space="preserve"> is</w:t>
      </w:r>
      <w:r w:rsidR="00C4788C">
        <w:rPr>
          <w:lang w:val="en-US"/>
        </w:rPr>
        <w:t xml:space="preserve"> not only applicable </w:t>
      </w:r>
      <w:r w:rsidR="00625615">
        <w:rPr>
          <w:lang w:val="en-US"/>
        </w:rPr>
        <w:t>to</w:t>
      </w:r>
      <w:r w:rsidR="00C4788C">
        <w:rPr>
          <w:lang w:val="en-US"/>
        </w:rPr>
        <w:t xml:space="preserve"> </w:t>
      </w:r>
      <w:r w:rsidR="00625615">
        <w:rPr>
          <w:lang w:val="en-US"/>
        </w:rPr>
        <w:t xml:space="preserve">hospitals </w:t>
      </w:r>
      <w:r w:rsidR="00625615">
        <w:rPr>
          <w:i/>
          <w:lang w:val="en-US"/>
        </w:rPr>
        <w:t>per se</w:t>
      </w:r>
      <w:r w:rsidR="00625615">
        <w:rPr>
          <w:lang w:val="en-US"/>
        </w:rPr>
        <w:t xml:space="preserve">, but also to other “organizational units” that provide </w:t>
      </w:r>
      <w:r w:rsidR="007C40CE">
        <w:rPr>
          <w:lang w:val="en-US"/>
        </w:rPr>
        <w:t>stationary care</w:t>
      </w:r>
      <w:r w:rsidR="008F554D">
        <w:rPr>
          <w:lang w:val="en-US"/>
        </w:rPr>
        <w:t xml:space="preserve"> and has precedence over t</w:t>
      </w:r>
      <w:r w:rsidR="001F1FC5">
        <w:rPr>
          <w:lang w:val="en-US"/>
        </w:rPr>
        <w:t>he general Working Hours Act</w:t>
      </w:r>
      <w:r w:rsidR="007C40CE">
        <w:rPr>
          <w:lang w:val="en-US"/>
        </w:rPr>
        <w:t>.</w:t>
      </w:r>
      <w:r w:rsidR="007C40CE">
        <w:rPr>
          <w:rStyle w:val="FootnoteReference"/>
          <w:lang w:val="en-US"/>
        </w:rPr>
        <w:footnoteReference w:id="28"/>
      </w:r>
      <w:r w:rsidR="007C40CE">
        <w:rPr>
          <w:lang w:val="en-US"/>
        </w:rPr>
        <w:t xml:space="preserve"> </w:t>
      </w:r>
      <w:r w:rsidR="00F176FA">
        <w:rPr>
          <w:lang w:val="en-US"/>
        </w:rPr>
        <w:t>These “organizational units”</w:t>
      </w:r>
      <w:r w:rsidR="007C40CE">
        <w:rPr>
          <w:lang w:val="en-US"/>
        </w:rPr>
        <w:t xml:space="preserve"> include, as indicated in the legislative materials</w:t>
      </w:r>
      <w:r w:rsidR="007C40CE">
        <w:rPr>
          <w:rStyle w:val="FootnoteReference"/>
          <w:lang w:val="en-US"/>
        </w:rPr>
        <w:footnoteReference w:id="29"/>
      </w:r>
      <w:r w:rsidR="007C40CE">
        <w:rPr>
          <w:lang w:val="en-US"/>
        </w:rPr>
        <w:t xml:space="preserve">, </w:t>
      </w:r>
      <w:r w:rsidR="001379F9">
        <w:rPr>
          <w:lang w:val="en-US"/>
        </w:rPr>
        <w:t>institutions where persons receive stationary assistance and care</w:t>
      </w:r>
      <w:r w:rsidR="006B3229">
        <w:rPr>
          <w:lang w:val="en-US"/>
        </w:rPr>
        <w:t>.</w:t>
      </w:r>
      <w:r w:rsidR="00570844">
        <w:rPr>
          <w:lang w:val="en-US"/>
        </w:rPr>
        <w:t xml:space="preserve"> </w:t>
      </w:r>
    </w:p>
    <w:p w14:paraId="476A001B" w14:textId="77777777" w:rsidR="00585001" w:rsidRDefault="00570844" w:rsidP="00585001">
      <w:pPr>
        <w:rPr>
          <w:lang w:val="en-US"/>
        </w:rPr>
      </w:pPr>
      <w:r>
        <w:rPr>
          <w:lang w:val="en-US"/>
        </w:rPr>
        <w:t xml:space="preserve">With regards to professional groups, </w:t>
      </w:r>
      <w:r w:rsidR="009A4491">
        <w:rPr>
          <w:lang w:val="en-US"/>
        </w:rPr>
        <w:t>the Working Hours Act</w:t>
      </w:r>
      <w:r>
        <w:rPr>
          <w:lang w:val="en-US"/>
        </w:rPr>
        <w:t xml:space="preserve"> applies</w:t>
      </w:r>
      <w:r w:rsidR="00163027">
        <w:rPr>
          <w:lang w:val="en-US"/>
        </w:rPr>
        <w:t xml:space="preserve">, </w:t>
      </w:r>
      <w:r w:rsidR="00163027">
        <w:rPr>
          <w:i/>
          <w:lang w:val="en-US"/>
        </w:rPr>
        <w:t>inter alia</w:t>
      </w:r>
      <w:r w:rsidR="00163027">
        <w:rPr>
          <w:lang w:val="en-US"/>
        </w:rPr>
        <w:t>,</w:t>
      </w:r>
      <w:r>
        <w:rPr>
          <w:lang w:val="en-US"/>
        </w:rPr>
        <w:t xml:space="preserve"> to caregivers, social and health psychologists and psychotherapists, who are likely to be </w:t>
      </w:r>
      <w:r w:rsidR="00A67F6C">
        <w:rPr>
          <w:lang w:val="en-US"/>
        </w:rPr>
        <w:t>working</w:t>
      </w:r>
      <w:r>
        <w:rPr>
          <w:lang w:val="en-US"/>
        </w:rPr>
        <w:t xml:space="preserve"> in institutions for persons with disabilities.</w:t>
      </w:r>
      <w:r w:rsidR="001379F9">
        <w:rPr>
          <w:lang w:val="en-US"/>
        </w:rPr>
        <w:t xml:space="preserve"> The Hospital Working Hours Act can therefore be applicable to some of the workforce of a residential unit for persons with disabilities</w:t>
      </w:r>
      <w:r w:rsidR="006B597B">
        <w:rPr>
          <w:lang w:val="en-US"/>
        </w:rPr>
        <w:t xml:space="preserve"> that, for example,</w:t>
      </w:r>
      <w:r w:rsidR="001379F9">
        <w:rPr>
          <w:lang w:val="en-US"/>
        </w:rPr>
        <w:t xml:space="preserve"> provides care for a small portion of </w:t>
      </w:r>
      <w:r w:rsidR="00110B90">
        <w:rPr>
          <w:lang w:val="en-US"/>
        </w:rPr>
        <w:t>its residents</w:t>
      </w:r>
      <w:r w:rsidR="00FC788A">
        <w:rPr>
          <w:lang w:val="en-US"/>
        </w:rPr>
        <w:t xml:space="preserve">, while </w:t>
      </w:r>
      <w:r w:rsidR="00A065CD">
        <w:rPr>
          <w:lang w:val="en-US"/>
        </w:rPr>
        <w:t>the (general) Working Hours Act applies</w:t>
      </w:r>
      <w:r w:rsidR="00FC788A">
        <w:rPr>
          <w:lang w:val="en-US"/>
        </w:rPr>
        <w:t xml:space="preserve"> to the rest of the employees</w:t>
      </w:r>
      <w:r w:rsidR="00110B90">
        <w:rPr>
          <w:lang w:val="en-US"/>
        </w:rPr>
        <w:t>.</w:t>
      </w:r>
      <w:r w:rsidR="006B597B">
        <w:rPr>
          <w:lang w:val="en-US"/>
        </w:rPr>
        <w:t xml:space="preserve"> </w:t>
      </w:r>
      <w:r w:rsidR="00A67F6C" w:rsidRPr="001C52C8">
        <w:rPr>
          <w:lang w:val="en-US"/>
        </w:rPr>
        <w:t>To the displeasure of the European Commission, p</w:t>
      </w:r>
      <w:r w:rsidR="006B597B" w:rsidRPr="001C52C8">
        <w:rPr>
          <w:lang w:val="en-US"/>
        </w:rPr>
        <w:t>rovisions of the Hospital Working Hours Act</w:t>
      </w:r>
      <w:r w:rsidR="00C65A66" w:rsidRPr="001C52C8">
        <w:rPr>
          <w:lang w:val="en-US"/>
        </w:rPr>
        <w:t xml:space="preserve"> </w:t>
      </w:r>
      <w:r w:rsidR="00BF6FA1" w:rsidRPr="001C52C8">
        <w:rPr>
          <w:lang w:val="en-US"/>
        </w:rPr>
        <w:t>used to</w:t>
      </w:r>
      <w:r w:rsidR="006B597B" w:rsidRPr="001C52C8">
        <w:rPr>
          <w:lang w:val="en-US"/>
        </w:rPr>
        <w:t xml:space="preserve"> average working times of more than 60 hours a week </w:t>
      </w:r>
      <w:r w:rsidR="00C65A66" w:rsidRPr="001C52C8">
        <w:rPr>
          <w:lang w:val="en-US"/>
        </w:rPr>
        <w:t>while</w:t>
      </w:r>
      <w:r w:rsidR="006B597B" w:rsidRPr="001C52C8">
        <w:rPr>
          <w:lang w:val="en-US"/>
        </w:rPr>
        <w:t xml:space="preserve"> hindering workers to consume their rest periods</w:t>
      </w:r>
      <w:r w:rsidR="00C65A66">
        <w:rPr>
          <w:lang w:val="en-US"/>
        </w:rPr>
        <w:t>.</w:t>
      </w:r>
      <w:r w:rsidR="006B597B">
        <w:rPr>
          <w:lang w:val="en-US"/>
        </w:rPr>
        <w:t xml:space="preserve"> Since then, </w:t>
      </w:r>
      <w:r w:rsidR="00306C8A">
        <w:rPr>
          <w:lang w:val="en-US"/>
        </w:rPr>
        <w:t xml:space="preserve">the Hospital Working Hours Act has been </w:t>
      </w:r>
      <w:r w:rsidR="006B597B">
        <w:rPr>
          <w:lang w:val="en-US"/>
        </w:rPr>
        <w:t>reformed</w:t>
      </w:r>
      <w:r w:rsidR="008A2A3B">
        <w:rPr>
          <w:lang w:val="en-US"/>
        </w:rPr>
        <w:t xml:space="preserve">, not without taking into account care providers’ need to adapt to the new legislation which will incrementally </w:t>
      </w:r>
      <w:r w:rsidR="00795EB0">
        <w:rPr>
          <w:lang w:val="en-US"/>
        </w:rPr>
        <w:t>bring Austrian law</w:t>
      </w:r>
      <w:r w:rsidR="00F15A40">
        <w:rPr>
          <w:lang w:val="en-US"/>
        </w:rPr>
        <w:t xml:space="preserve"> in line with </w:t>
      </w:r>
      <w:r w:rsidR="008A2A3B">
        <w:rPr>
          <w:lang w:val="en-US"/>
        </w:rPr>
        <w:t>the requirements of the WTD</w:t>
      </w:r>
      <w:r w:rsidR="00F15A40">
        <w:rPr>
          <w:lang w:val="en-US"/>
        </w:rPr>
        <w:t xml:space="preserve"> until 2021</w:t>
      </w:r>
      <w:r w:rsidR="00931814">
        <w:rPr>
          <w:lang w:val="en-US"/>
        </w:rPr>
        <w:t xml:space="preserve"> by lowering average weekly working hours to 48</w:t>
      </w:r>
      <w:r w:rsidR="009D3385">
        <w:rPr>
          <w:lang w:val="en-US"/>
        </w:rPr>
        <w:t>.</w:t>
      </w:r>
      <w:r w:rsidR="00D421D0">
        <w:rPr>
          <w:rStyle w:val="FootnoteReference"/>
          <w:lang w:val="en-US"/>
        </w:rPr>
        <w:footnoteReference w:id="30"/>
      </w:r>
      <w:r w:rsidR="00D3343C">
        <w:rPr>
          <w:lang w:val="en-US"/>
        </w:rPr>
        <w:t xml:space="preserve"> In the meantime, collective agreements on the level of individual businesses and individual consent of </w:t>
      </w:r>
      <w:r w:rsidR="008A2959">
        <w:rPr>
          <w:lang w:val="en-US"/>
        </w:rPr>
        <w:t>employees</w:t>
      </w:r>
      <w:r w:rsidR="00171146">
        <w:rPr>
          <w:lang w:val="en-US"/>
        </w:rPr>
        <w:t xml:space="preserve"> (“opt-out”)</w:t>
      </w:r>
      <w:r w:rsidR="00D3343C">
        <w:rPr>
          <w:lang w:val="en-US"/>
        </w:rPr>
        <w:t xml:space="preserve"> allow average weekly working hours of 60 (until 2017), respectively 55 (from 2017 to 2021).</w:t>
      </w:r>
    </w:p>
    <w:p w14:paraId="4892F60F" w14:textId="77777777" w:rsidR="00BF7943" w:rsidRDefault="00BF7943" w:rsidP="00BF7943">
      <w:pPr>
        <w:pStyle w:val="Heading2"/>
        <w:rPr>
          <w:lang w:val="en-US"/>
        </w:rPr>
      </w:pPr>
      <w:r>
        <w:rPr>
          <w:lang w:val="en-US"/>
        </w:rPr>
        <w:t xml:space="preserve">Social Partners, Collective Agreements and their Significance </w:t>
      </w:r>
    </w:p>
    <w:p w14:paraId="48F666A7" w14:textId="2AA38871" w:rsidR="00151A55" w:rsidRDefault="00151A55" w:rsidP="009D3385">
      <w:pPr>
        <w:rPr>
          <w:lang w:val="en-US"/>
        </w:rPr>
      </w:pPr>
      <w:r>
        <w:rPr>
          <w:lang w:val="en-US"/>
        </w:rPr>
        <w:t xml:space="preserve">The most important </w:t>
      </w:r>
      <w:r w:rsidR="00DD241D">
        <w:rPr>
          <w:lang w:val="en-US"/>
        </w:rPr>
        <w:t xml:space="preserve">collective agreement for the social sector is the </w:t>
      </w:r>
      <w:r w:rsidR="00DD241D" w:rsidRPr="00DD241D">
        <w:rPr>
          <w:i/>
          <w:lang w:val="en-US"/>
        </w:rPr>
        <w:t>Sozialwirtschaft Österreich Kollektivvertrag (SWÖ-KV</w:t>
      </w:r>
      <w:r w:rsidR="00DD241D">
        <w:rPr>
          <w:i/>
          <w:lang w:val="en-US"/>
        </w:rPr>
        <w:t>)</w:t>
      </w:r>
      <w:r w:rsidR="005C610E">
        <w:rPr>
          <w:lang w:val="en-US"/>
        </w:rPr>
        <w:t xml:space="preserve"> which is, as a statute, not only applicable for member institutions of the representing body of employers (</w:t>
      </w:r>
      <w:r w:rsidR="005C610E">
        <w:rPr>
          <w:i/>
          <w:lang w:val="en-US"/>
        </w:rPr>
        <w:t xml:space="preserve">Sozialwirtschaft Österreich), </w:t>
      </w:r>
      <w:r w:rsidR="005C610E">
        <w:rPr>
          <w:lang w:val="en-US"/>
        </w:rPr>
        <w:t>but to all organizations in the sector</w:t>
      </w:r>
      <w:r w:rsidR="00DD241D">
        <w:rPr>
          <w:lang w:val="en-US"/>
        </w:rPr>
        <w:t xml:space="preserve">. </w:t>
      </w:r>
      <w:r w:rsidR="003708D4">
        <w:rPr>
          <w:lang w:val="en-US"/>
        </w:rPr>
        <w:t>Hence, it</w:t>
      </w:r>
      <w:r w:rsidR="00DD241D">
        <w:rPr>
          <w:lang w:val="en-US"/>
        </w:rPr>
        <w:t xml:space="preserve"> applies to about 100.000 employees, among them those working </w:t>
      </w:r>
      <w:r w:rsidR="001F1FC5">
        <w:rPr>
          <w:lang w:val="en-US"/>
        </w:rPr>
        <w:t>for/</w:t>
      </w:r>
      <w:r w:rsidR="00DD241D">
        <w:rPr>
          <w:lang w:val="en-US"/>
        </w:rPr>
        <w:t xml:space="preserve">with people </w:t>
      </w:r>
      <w:r w:rsidR="001F1FC5">
        <w:rPr>
          <w:lang w:val="en-US"/>
        </w:rPr>
        <w:t>with</w:t>
      </w:r>
      <w:r w:rsidR="00DD241D">
        <w:rPr>
          <w:lang w:val="en-US"/>
        </w:rPr>
        <w:t xml:space="preserve"> disabilities.</w:t>
      </w:r>
    </w:p>
    <w:p w14:paraId="4FC367B3" w14:textId="77777777" w:rsidR="008C1667" w:rsidRDefault="008C1667">
      <w:pPr>
        <w:jc w:val="left"/>
        <w:rPr>
          <w:lang w:val="en-US"/>
        </w:rPr>
        <w:sectPr w:rsidR="008C1667" w:rsidSect="00450A2B">
          <w:footerReference w:type="default" r:id="rId11"/>
          <w:pgSz w:w="11906" w:h="16838"/>
          <w:pgMar w:top="1417" w:right="1417" w:bottom="1134" w:left="1417" w:header="708" w:footer="708" w:gutter="0"/>
          <w:pgNumType w:start="0"/>
          <w:cols w:space="708"/>
          <w:titlePg/>
          <w:docGrid w:linePitch="360"/>
        </w:sectPr>
      </w:pPr>
    </w:p>
    <w:p w14:paraId="79B61F95" w14:textId="5DB66AD1" w:rsidR="001C52C8" w:rsidRPr="00DD241D" w:rsidRDefault="008C1667" w:rsidP="009D3385">
      <w:pPr>
        <w:rPr>
          <w:lang w:val="en-US"/>
        </w:rPr>
      </w:pPr>
      <w:r w:rsidRPr="008C1667">
        <w:rPr>
          <w:lang w:val="en-US"/>
        </w:rPr>
        <mc:AlternateContent>
          <mc:Choice Requires="wps">
            <w:drawing>
              <wp:anchor distT="0" distB="0" distL="114300" distR="114300" simplePos="0" relativeHeight="251819008" behindDoc="0" locked="0" layoutInCell="1" allowOverlap="1" wp14:anchorId="6C06FECB" wp14:editId="4F5DCA57">
                <wp:simplePos x="0" y="0"/>
                <wp:positionH relativeFrom="column">
                  <wp:posOffset>3649980</wp:posOffset>
                </wp:positionH>
                <wp:positionV relativeFrom="paragraph">
                  <wp:posOffset>-701040</wp:posOffset>
                </wp:positionV>
                <wp:extent cx="2609850" cy="7909560"/>
                <wp:effectExtent l="0" t="0" r="0" b="0"/>
                <wp:wrapNone/>
                <wp:docPr id="3" name="Rectangle: Rounded Corners 3"/>
                <wp:cNvGraphicFramePr/>
                <a:graphic xmlns:a="http://schemas.openxmlformats.org/drawingml/2006/main">
                  <a:graphicData uri="http://schemas.microsoft.com/office/word/2010/wordprocessingShape">
                    <wps:wsp>
                      <wps:cNvSpPr/>
                      <wps:spPr>
                        <a:xfrm>
                          <a:off x="0" y="0"/>
                          <a:ext cx="2609850" cy="790956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78D116" w14:textId="77777777" w:rsidR="008C1667" w:rsidRPr="0037277F" w:rsidRDefault="008C1667" w:rsidP="008C1667">
                            <w:pPr>
                              <w:jc w:val="left"/>
                              <w:rPr>
                                <w:color w:val="FFFFFF" w:themeColor="background1"/>
                                <w:sz w:val="32"/>
                                <w:szCs w:val="32"/>
                                <w:lang w:val="en-US"/>
                              </w:rPr>
                            </w:pPr>
                            <w:bookmarkStart w:id="1" w:name="_Toc484710933"/>
                            <w:bookmarkStart w:id="2" w:name="_Toc484711029"/>
                            <w:bookmarkStart w:id="3" w:name="_Toc484711125"/>
                            <w:bookmarkStart w:id="4" w:name="_Toc484711213"/>
                            <w:bookmarkStart w:id="5" w:name="_Toc487461851"/>
                            <w:bookmarkStart w:id="6" w:name="_Toc487462112"/>
                            <w:bookmarkStart w:id="7" w:name="_Toc487462455"/>
                            <w:r w:rsidRPr="0037277F">
                              <w:rPr>
                                <w:color w:val="FFFFFF" w:themeColor="background1"/>
                                <w:sz w:val="32"/>
                                <w:szCs w:val="32"/>
                                <w:lang w:val="en-US"/>
                              </w:rPr>
                              <w:t xml:space="preserve">EASPD is the </w:t>
                            </w:r>
                            <w:r w:rsidRPr="0037277F">
                              <w:rPr>
                                <w:color w:val="FFFFFF" w:themeColor="background1"/>
                                <w:sz w:val="32"/>
                                <w:szCs w:val="32"/>
                                <w:lang w:val="en-US"/>
                                <w14:textFill>
                                  <w14:noFill/>
                                </w14:textFill>
                              </w:rPr>
                              <w:t>European</w:t>
                            </w:r>
                            <w:r w:rsidRPr="0037277F">
                              <w:rPr>
                                <w:color w:val="FFFFFF" w:themeColor="background1"/>
                                <w:sz w:val="32"/>
                                <w:szCs w:val="32"/>
                                <w:lang w:val="en-US"/>
                              </w:rPr>
                              <w:t xml:space="preserve"> Association of Service providers for Persons with Disabilities. We are a European not-for-profit organisation representing over 15,000 social services and disability organisations across Europe. The main objective of EASPD is to promote equal opportunities for people with disabilities through effective and high-quality service systems.</w:t>
                            </w:r>
                            <w:bookmarkEnd w:id="1"/>
                            <w:bookmarkEnd w:id="2"/>
                            <w:bookmarkEnd w:id="3"/>
                            <w:bookmarkEnd w:id="4"/>
                            <w:bookmarkEnd w:id="5"/>
                            <w:bookmarkEnd w:id="6"/>
                            <w:bookmarkEnd w:id="7"/>
                          </w:p>
                          <w:p w14:paraId="4AF9F370" w14:textId="77777777" w:rsidR="008C1667" w:rsidRDefault="008C1667" w:rsidP="008C1667">
                            <w:pPr>
                              <w:rPr>
                                <w:sz w:val="28"/>
                                <w:szCs w:val="28"/>
                              </w:rPr>
                            </w:pPr>
                          </w:p>
                          <w:p w14:paraId="71FCDD3C" w14:textId="79AA0E02" w:rsidR="008C1667" w:rsidRPr="0037277F" w:rsidRDefault="008C1667" w:rsidP="008C1667">
                            <w:pPr>
                              <w:rPr>
                                <w:rStyle w:val="Revision"/>
                                <w:iCs/>
                                <w:sz w:val="28"/>
                                <w:szCs w:val="28"/>
                              </w:rPr>
                            </w:pPr>
                            <w:hyperlink r:id="rId12" w:history="1">
                              <w:r w:rsidRPr="0037277F">
                                <w:rPr>
                                  <w:rStyle w:val="Revision"/>
                                  <w:iCs/>
                                  <w:sz w:val="28"/>
                                  <w:szCs w:val="28"/>
                                </w:rPr>
                                <w:t>www.easpd.eu</w:t>
                              </w:r>
                            </w:hyperlink>
                            <w:r>
                              <w:rPr>
                                <w:rStyle w:val="Revision"/>
                                <w:iCs/>
                                <w:sz w:val="28"/>
                                <w:szCs w:val="28"/>
                              </w:rPr>
                              <w:t xml:space="preserve">  </w:t>
                            </w:r>
                          </w:p>
                          <w:p w14:paraId="0CC046ED" w14:textId="77777777" w:rsidR="008C1667" w:rsidRPr="0037277F" w:rsidRDefault="008C1667" w:rsidP="008C1667">
                            <w:pPr>
                              <w:keepLines/>
                              <w:suppressAutoHyphens/>
                              <w:spacing w:after="0" w:line="240" w:lineRule="auto"/>
                              <w:ind w:right="-567"/>
                              <w:jc w:val="left"/>
                              <w:rPr>
                                <w:b/>
                                <w:iCs/>
                                <w:sz w:val="28"/>
                                <w:szCs w:val="28"/>
                                <w:lang w:val="en-GB"/>
                              </w:rPr>
                            </w:pPr>
                            <w:r w:rsidRPr="0037277F">
                              <w:rPr>
                                <w:b/>
                                <w:iCs/>
                                <w:sz w:val="28"/>
                                <w:szCs w:val="28"/>
                                <w:lang w:val="en-GB"/>
                              </w:rPr>
                              <w:t xml:space="preserve">Follow us on </w:t>
                            </w:r>
                            <w:hyperlink r:id="rId13" w:history="1">
                              <w:r w:rsidRPr="0037277F">
                                <w:rPr>
                                  <w:b/>
                                  <w:iCs/>
                                  <w:sz w:val="28"/>
                                  <w:szCs w:val="28"/>
                                  <w:lang w:val="en-GB"/>
                                </w:rPr>
                                <w:t>Facebook</w:t>
                              </w:r>
                            </w:hyperlink>
                            <w:r w:rsidRPr="0037277F">
                              <w:rPr>
                                <w:b/>
                                <w:iCs/>
                                <w:sz w:val="28"/>
                                <w:szCs w:val="28"/>
                                <w:lang w:val="en-GB"/>
                              </w:rPr>
                              <w:t xml:space="preserve"> and </w:t>
                            </w:r>
                            <w:hyperlink r:id="rId14" w:history="1">
                              <w:r w:rsidRPr="0037277F">
                                <w:rPr>
                                  <w:b/>
                                  <w:iCs/>
                                  <w:sz w:val="28"/>
                                  <w:szCs w:val="28"/>
                                  <w:lang w:val="en-GB"/>
                                </w:rPr>
                                <w:t>Twitter</w:t>
                              </w:r>
                            </w:hyperlink>
                          </w:p>
                          <w:p w14:paraId="476DBCF3" w14:textId="77777777" w:rsidR="008C1667" w:rsidRPr="0037277F" w:rsidRDefault="008C1667" w:rsidP="008C1667">
                            <w:pPr>
                              <w:pStyle w:val="Hyperlink"/>
                              <w:rPr>
                                <w:sz w:val="28"/>
                                <w:szCs w:val="28"/>
                                <w:lang w:val="en-US"/>
                              </w:rPr>
                            </w:pPr>
                          </w:p>
                          <w:p w14:paraId="57F6A1B9" w14:textId="77777777" w:rsidR="008C1667" w:rsidRPr="0037277F" w:rsidRDefault="008C1667" w:rsidP="008C1667">
                            <w:pPr>
                              <w:pStyle w:val="Hyperlink"/>
                              <w:rPr>
                                <w:lang w:val="en-US"/>
                              </w:rPr>
                            </w:pPr>
                          </w:p>
                          <w:p w14:paraId="2BA7222E" w14:textId="77777777" w:rsidR="008C1667" w:rsidRPr="00337EE9" w:rsidRDefault="008C1667" w:rsidP="008C1667">
                            <w:pPr>
                              <w:jc w:val="center"/>
                              <w:rPr>
                                <w:color w:val="FFFFFF" w:themeColor="background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C06FECB" id="Rectangle: Rounded Corners 3" o:spid="_x0000_s1033" style="position:absolute;left:0;text-align:left;margin-left:287.4pt;margin-top:-55.2pt;width:205.5pt;height:622.8pt;z-index:2518190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" filled="f" stroked="f" strokeweight="2pt">
                <v:textbox>
                  <w:txbxContent>
                    <w:p w14:paraId="1978D116" w14:textId="77777777" w:rsidR="008C1667" w:rsidRPr="0037277F" w:rsidRDefault="008C1667" w:rsidP="008C1667">
                      <w:pPr>
                        <w:jc w:val="left"/>
                        <w:rPr>
                          <w:color w:val="FFFFFF" w:themeColor="background1"/>
                          <w:sz w:val="32"/>
                          <w:szCs w:val="32"/>
                          <w:lang w:val="en-US"/>
                        </w:rPr>
                      </w:pPr>
                      <w:bookmarkStart w:id="8" w:name="_Toc484710933"/>
                      <w:bookmarkStart w:id="9" w:name="_Toc484711029"/>
                      <w:bookmarkStart w:id="10" w:name="_Toc484711125"/>
                      <w:bookmarkStart w:id="11" w:name="_Toc484711213"/>
                      <w:bookmarkStart w:id="12" w:name="_Toc487461851"/>
                      <w:bookmarkStart w:id="13" w:name="_Toc487462112"/>
                      <w:bookmarkStart w:id="14" w:name="_Toc487462455"/>
                      <w:r w:rsidRPr="0037277F">
                        <w:rPr>
                          <w:color w:val="FFFFFF" w:themeColor="background1"/>
                          <w:sz w:val="32"/>
                          <w:szCs w:val="32"/>
                          <w:lang w:val="en-US"/>
                        </w:rPr>
                        <w:t xml:space="preserve">EASPD is the </w:t>
                      </w:r>
                      <w:r w:rsidRPr="0037277F">
                        <w:rPr>
                          <w:color w:val="FFFFFF" w:themeColor="background1"/>
                          <w:sz w:val="32"/>
                          <w:szCs w:val="32"/>
                          <w:lang w:val="en-US"/>
                          <w14:textFill>
                            <w14:noFill/>
                          </w14:textFill>
                        </w:rPr>
                        <w:t>European</w:t>
                      </w:r>
                      <w:r w:rsidRPr="0037277F">
                        <w:rPr>
                          <w:color w:val="FFFFFF" w:themeColor="background1"/>
                          <w:sz w:val="32"/>
                          <w:szCs w:val="32"/>
                          <w:lang w:val="en-US"/>
                        </w:rPr>
                        <w:t xml:space="preserve"> Association of Service providers for Persons with Disabilities. We are a European not-for-profit organisation representing over 15,000 social services and disability organisations across Europe. The main objective of EASPD is to promote equal opportunities for people with disabilities through effective and high-quality service systems.</w:t>
                      </w:r>
                      <w:bookmarkEnd w:id="8"/>
                      <w:bookmarkEnd w:id="9"/>
                      <w:bookmarkEnd w:id="10"/>
                      <w:bookmarkEnd w:id="11"/>
                      <w:bookmarkEnd w:id="12"/>
                      <w:bookmarkEnd w:id="13"/>
                      <w:bookmarkEnd w:id="14"/>
                    </w:p>
                    <w:p w14:paraId="4AF9F370" w14:textId="77777777" w:rsidR="008C1667" w:rsidRDefault="008C1667" w:rsidP="008C1667">
                      <w:pPr>
                        <w:rPr>
                          <w:sz w:val="28"/>
                          <w:szCs w:val="28"/>
                        </w:rPr>
                      </w:pPr>
                    </w:p>
                    <w:p w14:paraId="71FCDD3C" w14:textId="79AA0E02" w:rsidR="008C1667" w:rsidRPr="0037277F" w:rsidRDefault="008C1667" w:rsidP="008C1667">
                      <w:pPr>
                        <w:rPr>
                          <w:rStyle w:val="Revision"/>
                          <w:iCs/>
                          <w:sz w:val="28"/>
                          <w:szCs w:val="28"/>
                        </w:rPr>
                      </w:pPr>
                      <w:hyperlink r:id="rId15" w:history="1">
                        <w:r w:rsidRPr="0037277F">
                          <w:rPr>
                            <w:rStyle w:val="Revision"/>
                            <w:iCs/>
                            <w:sz w:val="28"/>
                            <w:szCs w:val="28"/>
                          </w:rPr>
                          <w:t>www.easpd.eu</w:t>
                        </w:r>
                      </w:hyperlink>
                      <w:r>
                        <w:rPr>
                          <w:rStyle w:val="Revision"/>
                          <w:iCs/>
                          <w:sz w:val="28"/>
                          <w:szCs w:val="28"/>
                        </w:rPr>
                        <w:t xml:space="preserve">  </w:t>
                      </w:r>
                    </w:p>
                    <w:p w14:paraId="0CC046ED" w14:textId="77777777" w:rsidR="008C1667" w:rsidRPr="0037277F" w:rsidRDefault="008C1667" w:rsidP="008C1667">
                      <w:pPr>
                        <w:keepLines/>
                        <w:suppressAutoHyphens/>
                        <w:spacing w:after="0" w:line="240" w:lineRule="auto"/>
                        <w:ind w:right="-567"/>
                        <w:jc w:val="left"/>
                        <w:rPr>
                          <w:b/>
                          <w:iCs/>
                          <w:sz w:val="28"/>
                          <w:szCs w:val="28"/>
                          <w:lang w:val="en-GB"/>
                        </w:rPr>
                      </w:pPr>
                      <w:r w:rsidRPr="0037277F">
                        <w:rPr>
                          <w:b/>
                          <w:iCs/>
                          <w:sz w:val="28"/>
                          <w:szCs w:val="28"/>
                          <w:lang w:val="en-GB"/>
                        </w:rPr>
                        <w:t xml:space="preserve">Follow us on </w:t>
                      </w:r>
                      <w:hyperlink r:id="rId16" w:history="1">
                        <w:r w:rsidRPr="0037277F">
                          <w:rPr>
                            <w:b/>
                            <w:iCs/>
                            <w:sz w:val="28"/>
                            <w:szCs w:val="28"/>
                            <w:lang w:val="en-GB"/>
                          </w:rPr>
                          <w:t>Facebook</w:t>
                        </w:r>
                      </w:hyperlink>
                      <w:r w:rsidRPr="0037277F">
                        <w:rPr>
                          <w:b/>
                          <w:iCs/>
                          <w:sz w:val="28"/>
                          <w:szCs w:val="28"/>
                          <w:lang w:val="en-GB"/>
                        </w:rPr>
                        <w:t xml:space="preserve"> and </w:t>
                      </w:r>
                      <w:hyperlink r:id="rId17" w:history="1">
                        <w:r w:rsidRPr="0037277F">
                          <w:rPr>
                            <w:b/>
                            <w:iCs/>
                            <w:sz w:val="28"/>
                            <w:szCs w:val="28"/>
                            <w:lang w:val="en-GB"/>
                          </w:rPr>
                          <w:t>Twitter</w:t>
                        </w:r>
                      </w:hyperlink>
                    </w:p>
                    <w:p w14:paraId="476DBCF3" w14:textId="77777777" w:rsidR="008C1667" w:rsidRPr="0037277F" w:rsidRDefault="008C1667" w:rsidP="008C1667">
                      <w:pPr>
                        <w:pStyle w:val="Hyperlink"/>
                        <w:rPr>
                          <w:sz w:val="28"/>
                          <w:szCs w:val="28"/>
                          <w:lang w:val="en-US"/>
                        </w:rPr>
                      </w:pPr>
                    </w:p>
                    <w:p w14:paraId="57F6A1B9" w14:textId="77777777" w:rsidR="008C1667" w:rsidRPr="0037277F" w:rsidRDefault="008C1667" w:rsidP="008C1667">
                      <w:pPr>
                        <w:pStyle w:val="Hyperlink"/>
                        <w:rPr>
                          <w:lang w:val="en-US"/>
                        </w:rPr>
                      </w:pPr>
                    </w:p>
                    <w:p w14:paraId="2BA7222E" w14:textId="77777777" w:rsidR="008C1667" w:rsidRPr="00337EE9" w:rsidRDefault="008C1667" w:rsidP="008C1667">
                      <w:pPr>
                        <w:jc w:val="center"/>
                        <w:rPr>
                          <w:color w:val="FFFFFF" w:themeColor="background1"/>
                          <w:lang w:val="en-US"/>
                        </w:rPr>
                      </w:pPr>
                    </w:p>
                  </w:txbxContent>
                </v:textbox>
              </v:roundrect>
            </w:pict>
          </mc:Fallback>
        </mc:AlternateContent>
      </w:r>
      <w:r w:rsidRPr="008C1667">
        <w:rPr>
          <w:lang w:val="en-US"/>
        </w:rPr>
        <mc:AlternateContent>
          <mc:Choice Requires="wps">
            <w:drawing>
              <wp:anchor distT="0" distB="0" distL="114300" distR="114300" simplePos="0" relativeHeight="251726848" behindDoc="0" locked="0" layoutInCell="1" allowOverlap="1" wp14:anchorId="66B8D3CA" wp14:editId="0433B971">
                <wp:simplePos x="0" y="0"/>
                <wp:positionH relativeFrom="column">
                  <wp:posOffset>3773170</wp:posOffset>
                </wp:positionH>
                <wp:positionV relativeFrom="paragraph">
                  <wp:posOffset>-891540</wp:posOffset>
                </wp:positionV>
                <wp:extent cx="2880995" cy="1088263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0995" cy="10882630"/>
                        </a:xfrm>
                        <a:prstGeom prst="rect">
                          <a:avLst/>
                        </a:prstGeom>
                        <a:solidFill>
                          <a:schemeClr val="accent1">
                            <a:lumMod val="5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577EEA96" id="Rectangle 5" o:spid="_x0000_s1026" style="position:absolute;margin-left:297.1pt;margin-top:-70.2pt;width:226.85pt;height:856.9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" fillcolor="#243f60 [1604]" stroked="f" strokecolor="#d8d8d8"/>
            </w:pict>
          </mc:Fallback>
        </mc:AlternateContent>
      </w:r>
      <w:r w:rsidRPr="008C1667">
        <w:rPr>
          <w:lang w:val="en-US"/>
        </w:rPr>
        <mc:AlternateContent>
          <mc:Choice Requires="wps">
            <w:drawing>
              <wp:anchor distT="0" distB="0" distL="114300" distR="114300" simplePos="0" relativeHeight="251634688" behindDoc="0" locked="0" layoutInCell="1" allowOverlap="1" wp14:anchorId="665D1BD6" wp14:editId="1DBA03E2">
                <wp:simplePos x="0" y="0"/>
                <wp:positionH relativeFrom="column">
                  <wp:posOffset>3649980</wp:posOffset>
                </wp:positionH>
                <wp:positionV relativeFrom="paragraph">
                  <wp:posOffset>-891540</wp:posOffset>
                </wp:positionV>
                <wp:extent cx="133985" cy="10882630"/>
                <wp:effectExtent l="0" t="0" r="0" b="0"/>
                <wp:wrapNone/>
                <wp:docPr id="4" name="Rectangle 4" descr="Light vertic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0882630"/>
                        </a:xfrm>
                        <a:prstGeom prst="rect">
                          <a:avLst/>
                        </a:prstGeom>
                        <a:pattFill prst="dkVert">
                          <a:fgClr>
                            <a:schemeClr val="accent5">
                              <a:lumMod val="5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a:graphicData>
                </a:graphic>
              </wp:anchor>
            </w:drawing>
          </mc:Choice>
          <mc:Fallback>
            <w:pict>
              <v:rect w14:anchorId="266F9AB1" id="Rectangle 4" o:spid="_x0000_s1026" alt="Light vertical" style="position:absolute;margin-left:287.4pt;margin-top:-70.2pt;width:10.55pt;height:856.9pt;z-index:251634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" fillcolor="#205867 [1608]" stroked="f" strokecolor="white" strokeweight="1pt">
                <v:fill r:id="rId8" o:title="" opacity="52428f" color2="white [3212]" o:opacity2="52428f" type="pattern"/>
                <v:shadow color="#d8d8d8" offset="3pt,3pt"/>
              </v:rect>
            </w:pict>
          </mc:Fallback>
        </mc:AlternateContent>
      </w:r>
    </w:p>
    <w:p w14:paraId="42BE0D48" w14:textId="7A73F444" w:rsidR="00E10A0A" w:rsidRDefault="00E10A0A">
      <w:pPr>
        <w:jc w:val="left"/>
        <w:rPr>
          <w:lang w:val="en-US"/>
        </w:rPr>
      </w:pPr>
    </w:p>
    <w:p w14:paraId="2FCD0044" w14:textId="19742D3C" w:rsidR="002A0722" w:rsidRDefault="00265CC0" w:rsidP="00265CC0">
      <w:pPr>
        <w:tabs>
          <w:tab w:val="left" w:pos="690"/>
          <w:tab w:val="left" w:pos="3150"/>
        </w:tabs>
        <w:rPr>
          <w:lang w:val="en-US"/>
        </w:rPr>
      </w:pPr>
      <w:r>
        <w:rPr>
          <w:lang w:val="en-US"/>
        </w:rPr>
        <w:lastRenderedPageBreak/>
        <w:tab/>
      </w:r>
    </w:p>
    <w:p w14:paraId="7893D5BE" w14:textId="77777777" w:rsidR="002A0722" w:rsidRPr="002A0722" w:rsidRDefault="002A0722" w:rsidP="00450A2B">
      <w:pPr>
        <w:rPr>
          <w:lang w:val="en-US"/>
        </w:rPr>
      </w:pPr>
    </w:p>
    <w:p w14:paraId="5ACC07B3" w14:textId="77777777" w:rsidR="002A0722" w:rsidRPr="00E33CE7" w:rsidRDefault="002A0722" w:rsidP="00450A2B">
      <w:pPr>
        <w:rPr>
          <w:lang w:val="en-US"/>
        </w:rPr>
      </w:pPr>
    </w:p>
    <w:p w14:paraId="7FA47B04" w14:textId="5D28D49A" w:rsidR="002A0722" w:rsidRPr="002A0722" w:rsidRDefault="002A0722" w:rsidP="00450A2B">
      <w:pPr>
        <w:rPr>
          <w:lang w:val="en-US"/>
        </w:rPr>
      </w:pPr>
    </w:p>
    <w:p w14:paraId="600243E0" w14:textId="77777777" w:rsidR="002A0722" w:rsidRPr="002A0722" w:rsidRDefault="002A0722" w:rsidP="00450A2B">
      <w:pPr>
        <w:rPr>
          <w:lang w:val="en-US"/>
        </w:rPr>
      </w:pPr>
    </w:p>
    <w:p w14:paraId="6E21EF53" w14:textId="41B75D13" w:rsidR="002A0722" w:rsidRPr="002A0722" w:rsidRDefault="002A0722" w:rsidP="00450A2B">
      <w:pPr>
        <w:rPr>
          <w:lang w:val="en-US"/>
        </w:rPr>
      </w:pPr>
    </w:p>
    <w:p w14:paraId="0E6C4A20" w14:textId="77777777" w:rsidR="002A0722" w:rsidRPr="002A0722" w:rsidRDefault="002A0722" w:rsidP="00450A2B">
      <w:pPr>
        <w:rPr>
          <w:lang w:val="en-US"/>
        </w:rPr>
      </w:pPr>
    </w:p>
    <w:p w14:paraId="46597119" w14:textId="53A391BA" w:rsidR="002A0722" w:rsidRDefault="002A0722" w:rsidP="002A0722">
      <w:pPr>
        <w:rPr>
          <w:lang w:val="en-US"/>
        </w:rPr>
      </w:pPr>
    </w:p>
    <w:p w14:paraId="10C6581C" w14:textId="3F621320" w:rsidR="00210BCF" w:rsidRDefault="00210BCF" w:rsidP="00210BCF">
      <w:pPr>
        <w:jc w:val="center"/>
        <w:rPr>
          <w:rFonts w:ascii="Arial" w:hAnsi="Arial" w:cs="Arial"/>
          <w:b/>
          <w:bCs/>
          <w:color w:val="1F497D" w:themeColor="text2"/>
          <w:sz w:val="16"/>
          <w:szCs w:val="16"/>
        </w:rPr>
      </w:pPr>
    </w:p>
    <w:p w14:paraId="4F63647D" w14:textId="77777777" w:rsidR="00450A2B" w:rsidRDefault="00450A2B" w:rsidP="00B139EC">
      <w:pPr>
        <w:rPr>
          <w:i/>
          <w:iCs/>
          <w:color w:val="000000" w:themeColor="text1"/>
          <w:sz w:val="18"/>
          <w:szCs w:val="18"/>
        </w:rPr>
      </w:pPr>
    </w:p>
    <w:p w14:paraId="77FCF259" w14:textId="77777777" w:rsidR="00450A2B" w:rsidRDefault="00450A2B" w:rsidP="00B139EC">
      <w:pPr>
        <w:rPr>
          <w:i/>
          <w:iCs/>
          <w:color w:val="000000" w:themeColor="text1"/>
          <w:sz w:val="18"/>
          <w:szCs w:val="18"/>
        </w:rPr>
      </w:pPr>
    </w:p>
    <w:p w14:paraId="6F1A111C" w14:textId="77777777" w:rsidR="00450A2B" w:rsidRDefault="00450A2B" w:rsidP="00B139EC">
      <w:pPr>
        <w:rPr>
          <w:i/>
          <w:iCs/>
          <w:color w:val="000000" w:themeColor="text1"/>
          <w:sz w:val="18"/>
          <w:szCs w:val="18"/>
        </w:rPr>
      </w:pPr>
    </w:p>
    <w:p w14:paraId="27BBFA3F" w14:textId="77777777" w:rsidR="00450A2B" w:rsidRDefault="00450A2B" w:rsidP="00B139EC">
      <w:pPr>
        <w:rPr>
          <w:i/>
          <w:iCs/>
          <w:color w:val="000000" w:themeColor="text1"/>
          <w:sz w:val="18"/>
          <w:szCs w:val="18"/>
        </w:rPr>
      </w:pPr>
    </w:p>
    <w:p w14:paraId="32F46182" w14:textId="77777777" w:rsidR="00450A2B" w:rsidRDefault="00450A2B" w:rsidP="00B139EC">
      <w:pPr>
        <w:rPr>
          <w:i/>
          <w:iCs/>
          <w:color w:val="000000" w:themeColor="text1"/>
          <w:sz w:val="18"/>
          <w:szCs w:val="18"/>
        </w:rPr>
      </w:pPr>
    </w:p>
    <w:p w14:paraId="448F3F8D" w14:textId="77777777" w:rsidR="00450A2B" w:rsidRDefault="00450A2B" w:rsidP="00B139EC">
      <w:pPr>
        <w:rPr>
          <w:i/>
          <w:iCs/>
          <w:color w:val="000000" w:themeColor="text1"/>
          <w:sz w:val="18"/>
          <w:szCs w:val="18"/>
        </w:rPr>
      </w:pPr>
    </w:p>
    <w:p w14:paraId="36779D35" w14:textId="77777777" w:rsidR="00450A2B" w:rsidRDefault="00450A2B" w:rsidP="00B139EC">
      <w:pPr>
        <w:rPr>
          <w:i/>
          <w:iCs/>
          <w:color w:val="000000" w:themeColor="text1"/>
          <w:sz w:val="18"/>
          <w:szCs w:val="18"/>
        </w:rPr>
      </w:pPr>
    </w:p>
    <w:p w14:paraId="23DB22E0" w14:textId="77777777" w:rsidR="00450A2B" w:rsidRDefault="00450A2B" w:rsidP="00B139EC">
      <w:pPr>
        <w:rPr>
          <w:i/>
          <w:iCs/>
          <w:color w:val="000000" w:themeColor="text1"/>
          <w:sz w:val="18"/>
          <w:szCs w:val="18"/>
        </w:rPr>
      </w:pPr>
    </w:p>
    <w:p w14:paraId="6EC537B3" w14:textId="0D00D829" w:rsidR="00450A2B" w:rsidRDefault="00450A2B" w:rsidP="00B139EC">
      <w:pPr>
        <w:rPr>
          <w:i/>
          <w:iCs/>
          <w:color w:val="000000" w:themeColor="text1"/>
          <w:sz w:val="18"/>
          <w:szCs w:val="18"/>
        </w:rPr>
      </w:pPr>
    </w:p>
    <w:p w14:paraId="74715C48" w14:textId="1BAAFF49" w:rsidR="00450A2B" w:rsidRDefault="00450A2B" w:rsidP="00B139EC">
      <w:pPr>
        <w:rPr>
          <w:i/>
          <w:iCs/>
          <w:color w:val="000000" w:themeColor="text1"/>
          <w:sz w:val="18"/>
          <w:szCs w:val="18"/>
        </w:rPr>
      </w:pPr>
    </w:p>
    <w:p w14:paraId="59BE1C07" w14:textId="572ABBE6" w:rsidR="00450A2B" w:rsidRDefault="00450A2B" w:rsidP="00B139EC">
      <w:pPr>
        <w:rPr>
          <w:i/>
          <w:iCs/>
          <w:color w:val="000000" w:themeColor="text1"/>
          <w:sz w:val="18"/>
          <w:szCs w:val="18"/>
        </w:rPr>
      </w:pPr>
    </w:p>
    <w:p w14:paraId="15DCF956" w14:textId="38DE6D34" w:rsidR="00450A2B" w:rsidRDefault="00450A2B" w:rsidP="00B139EC">
      <w:pPr>
        <w:rPr>
          <w:i/>
          <w:iCs/>
          <w:color w:val="000000" w:themeColor="text1"/>
          <w:sz w:val="18"/>
          <w:szCs w:val="18"/>
        </w:rPr>
      </w:pPr>
    </w:p>
    <w:p w14:paraId="4810376F" w14:textId="5AE3D4D2" w:rsidR="00450A2B" w:rsidRDefault="00450A2B" w:rsidP="00B139EC">
      <w:pPr>
        <w:rPr>
          <w:i/>
          <w:iCs/>
          <w:color w:val="000000" w:themeColor="text1"/>
          <w:sz w:val="18"/>
          <w:szCs w:val="18"/>
        </w:rPr>
      </w:pPr>
      <w:r>
        <w:rPr>
          <w:noProof/>
          <w:lang w:val="en-GB" w:eastAsia="en-GB"/>
        </w:rPr>
        <w:drawing>
          <wp:anchor distT="0" distB="0" distL="114300" distR="114300" simplePos="0" relativeHeight="251542528" behindDoc="0" locked="0" layoutInCell="1" allowOverlap="1" wp14:anchorId="6839DB5A" wp14:editId="36F47BA6">
            <wp:simplePos x="0" y="0"/>
            <wp:positionH relativeFrom="column">
              <wp:posOffset>1546225</wp:posOffset>
            </wp:positionH>
            <wp:positionV relativeFrom="paragraph">
              <wp:posOffset>14892</wp:posOffset>
            </wp:positionV>
            <wp:extent cx="580828" cy="38100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uropa.eu/about-eu/basic-information/symbols/images/flag_yellow_high.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0828" cy="381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EF492E" w14:textId="3D575850" w:rsidR="00450A2B" w:rsidRDefault="00450A2B" w:rsidP="00B139EC">
      <w:pPr>
        <w:rPr>
          <w:i/>
          <w:iCs/>
          <w:color w:val="000000" w:themeColor="text1"/>
          <w:sz w:val="18"/>
          <w:szCs w:val="18"/>
        </w:rPr>
      </w:pPr>
    </w:p>
    <w:p w14:paraId="242EE5F7" w14:textId="1915C33A" w:rsidR="00210BCF" w:rsidRPr="00A6009A" w:rsidRDefault="00210BCF" w:rsidP="001C52C8">
      <w:pPr>
        <w:ind w:right="3402"/>
        <w:rPr>
          <w:i/>
          <w:iCs/>
          <w:color w:val="000000" w:themeColor="text1"/>
          <w:sz w:val="18"/>
          <w:szCs w:val="18"/>
        </w:rPr>
      </w:pPr>
      <w:r w:rsidRPr="00734563">
        <w:rPr>
          <w:i/>
          <w:iCs/>
          <w:color w:val="000000" w:themeColor="text1"/>
          <w:sz w:val="18"/>
          <w:szCs w:val="18"/>
        </w:rPr>
        <w:t>This publication has been produced</w:t>
      </w:r>
      <w:r w:rsidRPr="00A6009A">
        <w:rPr>
          <w:i/>
          <w:iCs/>
          <w:color w:val="000000" w:themeColor="text1"/>
          <w:sz w:val="18"/>
          <w:szCs w:val="18"/>
        </w:rPr>
        <w:t xml:space="preserve"> with the financial support of the European Union Programme for Employment and Social Innovation “EaSI” (2014-2020). The information contained in this publication does not necessarily reflect the official position of the European Commission.</w:t>
      </w:r>
    </w:p>
    <w:p w14:paraId="36390C9F" w14:textId="77777777" w:rsidR="00210BCF" w:rsidRPr="009062FC" w:rsidRDefault="00210BCF" w:rsidP="001C52C8">
      <w:pPr>
        <w:spacing w:after="0" w:line="240" w:lineRule="auto"/>
        <w:ind w:right="3402"/>
        <w:rPr>
          <w:i/>
          <w:iCs/>
          <w:color w:val="000000" w:themeColor="text1"/>
          <w:sz w:val="18"/>
          <w:szCs w:val="18"/>
        </w:rPr>
      </w:pPr>
      <w:r w:rsidRPr="009062FC">
        <w:rPr>
          <w:i/>
          <w:iCs/>
          <w:color w:val="000000" w:themeColor="text1"/>
          <w:sz w:val="18"/>
          <w:szCs w:val="18"/>
        </w:rPr>
        <w:t xml:space="preserve">Copyright © </w:t>
      </w:r>
      <w:r w:rsidRPr="00403AC0">
        <w:rPr>
          <w:i/>
          <w:iCs/>
          <w:color w:val="000000" w:themeColor="text1"/>
          <w:sz w:val="18"/>
          <w:szCs w:val="18"/>
        </w:rPr>
        <w:t>EA</w:t>
      </w:r>
      <w:r>
        <w:rPr>
          <w:i/>
          <w:iCs/>
          <w:color w:val="000000" w:themeColor="text1"/>
          <w:sz w:val="18"/>
          <w:szCs w:val="18"/>
        </w:rPr>
        <w:t>SPD 2017</w:t>
      </w:r>
    </w:p>
    <w:p w14:paraId="227AC78E" w14:textId="3EEA650D" w:rsidR="00450A2B" w:rsidRPr="002A0722" w:rsidRDefault="00210BCF" w:rsidP="001C52C8">
      <w:pPr>
        <w:ind w:right="3402"/>
        <w:rPr>
          <w:lang w:val="en-US"/>
        </w:rPr>
      </w:pPr>
      <w:r w:rsidRPr="009062FC">
        <w:rPr>
          <w:i/>
          <w:iCs/>
          <w:color w:val="000000" w:themeColor="text1"/>
          <w:sz w:val="18"/>
          <w:szCs w:val="18"/>
        </w:rPr>
        <w:t xml:space="preserve">All rights reserved. No part of this publication may be reproduced, stored in or introduced into a retrieval </w:t>
      </w:r>
      <w:r w:rsidRPr="00403AC0">
        <w:rPr>
          <w:i/>
          <w:iCs/>
          <w:color w:val="000000" w:themeColor="text1"/>
          <w:sz w:val="18"/>
          <w:szCs w:val="18"/>
        </w:rPr>
        <w:t>system without</w:t>
      </w:r>
      <w:r w:rsidRPr="009062FC">
        <w:rPr>
          <w:i/>
          <w:iCs/>
          <w:color w:val="000000" w:themeColor="text1"/>
          <w:sz w:val="18"/>
          <w:szCs w:val="18"/>
        </w:rPr>
        <w:t xml:space="preserve"> the p</w:t>
      </w:r>
      <w:r w:rsidR="00450A2B">
        <w:rPr>
          <w:i/>
          <w:iCs/>
          <w:color w:val="000000" w:themeColor="text1"/>
          <w:sz w:val="18"/>
          <w:szCs w:val="18"/>
        </w:rPr>
        <w:t>rior permission of the copyrigh</w:t>
      </w:r>
    </w:p>
    <w:sectPr w:rsidR="00450A2B" w:rsidRPr="002A0722" w:rsidSect="00450A2B">
      <w:pgSz w:w="11906" w:h="16838"/>
      <w:pgMar w:top="1417" w:right="1417" w:bottom="1134"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65B96C" w14:textId="77777777" w:rsidR="008B39E1" w:rsidRDefault="008B39E1" w:rsidP="00B7268E">
      <w:pPr>
        <w:spacing w:after="0" w:line="240" w:lineRule="auto"/>
      </w:pPr>
      <w:r>
        <w:separator/>
      </w:r>
    </w:p>
  </w:endnote>
  <w:endnote w:type="continuationSeparator" w:id="0">
    <w:p w14:paraId="4F438BAD" w14:textId="77777777" w:rsidR="008B39E1" w:rsidRDefault="008B39E1" w:rsidP="00B72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6755323"/>
      <w:docPartObj>
        <w:docPartGallery w:val="Page Numbers (Bottom of Page)"/>
        <w:docPartUnique/>
      </w:docPartObj>
    </w:sdtPr>
    <w:sdtEndPr>
      <w:rPr>
        <w:noProof/>
      </w:rPr>
    </w:sdtEndPr>
    <w:sdtContent>
      <w:p w14:paraId="3C9E6364" w14:textId="1243B50D" w:rsidR="00A55E83" w:rsidRDefault="00A55E83">
        <w:pPr>
          <w:pStyle w:val="Footer"/>
          <w:jc w:val="center"/>
        </w:pPr>
        <w:r>
          <w:fldChar w:fldCharType="begin"/>
        </w:r>
        <w:r>
          <w:instrText xml:space="preserve"> PAGE   \* MERGEFORMAT </w:instrText>
        </w:r>
        <w:r>
          <w:fldChar w:fldCharType="separate"/>
        </w:r>
        <w:r w:rsidR="00812A2E">
          <w:rPr>
            <w:noProof/>
          </w:rPr>
          <w:t>5</w:t>
        </w:r>
        <w:r>
          <w:rPr>
            <w:noProof/>
          </w:rPr>
          <w:fldChar w:fldCharType="end"/>
        </w:r>
      </w:p>
    </w:sdtContent>
  </w:sdt>
  <w:p w14:paraId="36351D81" w14:textId="77777777" w:rsidR="00A55E83" w:rsidRDefault="00A55E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B3347" w14:textId="77777777" w:rsidR="008B39E1" w:rsidRDefault="008B39E1" w:rsidP="00B7268E">
      <w:pPr>
        <w:spacing w:after="0" w:line="240" w:lineRule="auto"/>
      </w:pPr>
      <w:r>
        <w:separator/>
      </w:r>
    </w:p>
  </w:footnote>
  <w:footnote w:type="continuationSeparator" w:id="0">
    <w:p w14:paraId="28763CB1" w14:textId="77777777" w:rsidR="008B39E1" w:rsidRDefault="008B39E1" w:rsidP="00B7268E">
      <w:pPr>
        <w:spacing w:after="0" w:line="240" w:lineRule="auto"/>
      </w:pPr>
      <w:r>
        <w:continuationSeparator/>
      </w:r>
    </w:p>
  </w:footnote>
  <w:footnote w:id="1">
    <w:p w14:paraId="0231E35B" w14:textId="77777777" w:rsidR="00C52382" w:rsidRPr="00CE6BCF" w:rsidRDefault="00C52382" w:rsidP="00C52382">
      <w:pPr>
        <w:pStyle w:val="FootnoteText"/>
        <w:rPr>
          <w:lang w:val="en-US"/>
        </w:rPr>
      </w:pPr>
      <w:r>
        <w:rPr>
          <w:rStyle w:val="FootnoteReference"/>
        </w:rPr>
        <w:footnoteRef/>
      </w:r>
      <w:r>
        <w:t xml:space="preserve"> Verordnung des Bundesministers für Arbeit, Soziales und Konsumentenschutz betreffend nähere Bestimmungen über die Feststellung des Grades der Behinderung (Einschätzungsverordnung), StF: </w:t>
      </w:r>
      <w:r w:rsidRPr="00144924">
        <w:t xml:space="preserve">BGBl. II Nr. </w:t>
      </w:r>
      <w:r w:rsidRPr="00144924">
        <w:rPr>
          <w:lang w:val="en-US"/>
        </w:rPr>
        <w:t>261/2010</w:t>
      </w:r>
      <w:r w:rsidRPr="00CE6BCF">
        <w:rPr>
          <w:lang w:val="en-US"/>
        </w:rPr>
        <w:t xml:space="preserve"> idF BGBl. II Nr. 251/2012.</w:t>
      </w:r>
    </w:p>
  </w:footnote>
  <w:footnote w:id="2">
    <w:p w14:paraId="4EEBCEF5" w14:textId="77777777" w:rsidR="00CE6BCF" w:rsidRPr="00344E50" w:rsidRDefault="00CE6BCF" w:rsidP="00CE6BCF">
      <w:pPr>
        <w:pStyle w:val="FootnoteText"/>
        <w:rPr>
          <w:lang w:val="en-US"/>
        </w:rPr>
      </w:pPr>
      <w:r>
        <w:rPr>
          <w:rStyle w:val="FootnoteReference"/>
        </w:rPr>
        <w:footnoteRef/>
      </w:r>
      <w:r w:rsidRPr="001D3EBE">
        <w:rPr>
          <w:lang w:val="en-US"/>
        </w:rPr>
        <w:t xml:space="preserve"> </w:t>
      </w:r>
      <w:r w:rsidR="0008394B">
        <w:rPr>
          <w:lang w:val="en-US"/>
        </w:rPr>
        <w:t xml:space="preserve">See: </w:t>
      </w:r>
      <w:r>
        <w:rPr>
          <w:lang w:val="en-US"/>
        </w:rPr>
        <w:t>Federal Ministry of Labour, Social Affairs and Consumer Protection (ed.), Nationaler Aktionsplan Behinderung 2012-2020, 2</w:t>
      </w:r>
      <w:r w:rsidRPr="00404E48">
        <w:rPr>
          <w:vertAlign w:val="superscript"/>
          <w:lang w:val="en-US"/>
        </w:rPr>
        <w:t>nd</w:t>
      </w:r>
      <w:r w:rsidR="00344E50">
        <w:rPr>
          <w:lang w:val="en-US"/>
        </w:rPr>
        <w:t xml:space="preserve"> edition, 2016, 14; </w:t>
      </w:r>
      <w:r w:rsidR="00344E50" w:rsidRPr="00344E50">
        <w:rPr>
          <w:lang w:val="en-US"/>
        </w:rPr>
        <w:t>Federal Ministry of Labour, Social Affairs and Consumer Protection (ed.), Begleitgruppe zum Nationalen Aktionsplan Behinderung – Statistiken,</w:t>
      </w:r>
      <w:r w:rsidR="00344E50">
        <w:rPr>
          <w:lang w:val="en-US"/>
        </w:rPr>
        <w:t xml:space="preserve"> 2013, 2.</w:t>
      </w:r>
    </w:p>
  </w:footnote>
  <w:footnote w:id="3">
    <w:p w14:paraId="476F6FFD" w14:textId="2066E702" w:rsidR="00CE6BCF" w:rsidRPr="00CE6BCF" w:rsidRDefault="00CE6BCF" w:rsidP="00CE6BCF">
      <w:pPr>
        <w:pStyle w:val="FootnoteText"/>
        <w:rPr>
          <w:lang w:val="en-US"/>
        </w:rPr>
      </w:pPr>
      <w:r>
        <w:rPr>
          <w:rStyle w:val="FootnoteReference"/>
        </w:rPr>
        <w:footnoteRef/>
      </w:r>
      <w:r w:rsidRPr="00CE6BCF">
        <w:rPr>
          <w:lang w:val="en-US"/>
        </w:rPr>
        <w:t xml:space="preserve"> </w:t>
      </w:r>
      <w:r w:rsidR="0008394B">
        <w:rPr>
          <w:lang w:val="en-US"/>
        </w:rPr>
        <w:t>See: Federal Ministry of Labour, Social Affairs and Consumer Protection (ed.), Nationaler Aktionsplan Behinderung 2012-2020, 2</w:t>
      </w:r>
      <w:r w:rsidR="0008394B" w:rsidRPr="00404E48">
        <w:rPr>
          <w:vertAlign w:val="superscript"/>
          <w:lang w:val="en-US"/>
        </w:rPr>
        <w:t>nd</w:t>
      </w:r>
      <w:r w:rsidR="0008394B">
        <w:rPr>
          <w:lang w:val="en-US"/>
        </w:rPr>
        <w:t xml:space="preserve"> edition, 2016, </w:t>
      </w:r>
      <w:r w:rsidR="001C52C8">
        <w:rPr>
          <w:lang w:val="en-US"/>
        </w:rPr>
        <w:t>22.</w:t>
      </w:r>
    </w:p>
  </w:footnote>
  <w:footnote w:id="4">
    <w:p w14:paraId="1928055E" w14:textId="77777777" w:rsidR="000A72CD" w:rsidRPr="0084793B" w:rsidRDefault="000A72CD" w:rsidP="000A72CD">
      <w:pPr>
        <w:pStyle w:val="FootnoteText"/>
        <w:rPr>
          <w:lang w:val="en-US"/>
        </w:rPr>
      </w:pPr>
      <w:r>
        <w:rPr>
          <w:rStyle w:val="FootnoteReference"/>
        </w:rPr>
        <w:footnoteRef/>
      </w:r>
      <w:r w:rsidRPr="0084793B">
        <w:rPr>
          <w:lang w:val="en-US"/>
        </w:rPr>
        <w:t xml:space="preserve"> </w:t>
      </w:r>
      <w:r>
        <w:rPr>
          <w:lang w:val="en-US"/>
        </w:rPr>
        <w:t xml:space="preserve">GA-Res.: </w:t>
      </w:r>
      <w:r w:rsidRPr="0084793B">
        <w:rPr>
          <w:lang w:val="en-US"/>
        </w:rPr>
        <w:t>Convention on the Rights of Persons with Disabilities</w:t>
      </w:r>
      <w:r>
        <w:rPr>
          <w:lang w:val="en-US"/>
        </w:rPr>
        <w:t>, A/RES/61/106, 13 December 2006</w:t>
      </w:r>
      <w:r w:rsidR="00D06B0C">
        <w:rPr>
          <w:lang w:val="en-US"/>
        </w:rPr>
        <w:t>, Art. 25</w:t>
      </w:r>
      <w:r>
        <w:rPr>
          <w:lang w:val="en-US"/>
        </w:rPr>
        <w:t>.</w:t>
      </w:r>
    </w:p>
  </w:footnote>
  <w:footnote w:id="5">
    <w:p w14:paraId="2F62B36D" w14:textId="77777777" w:rsidR="00D93758" w:rsidRPr="00404E48" w:rsidRDefault="00D93758">
      <w:pPr>
        <w:pStyle w:val="FootnoteText"/>
        <w:rPr>
          <w:lang w:val="en-US"/>
        </w:rPr>
      </w:pPr>
      <w:r>
        <w:rPr>
          <w:rStyle w:val="FootnoteReference"/>
        </w:rPr>
        <w:footnoteRef/>
      </w:r>
      <w:r w:rsidRPr="00404E48">
        <w:rPr>
          <w:lang w:val="en-US"/>
        </w:rPr>
        <w:t xml:space="preserve"> </w:t>
      </w:r>
      <w:r w:rsidR="00404E48">
        <w:rPr>
          <w:lang w:val="en-US"/>
        </w:rPr>
        <w:t>Federal Ministry of Labour, Social Affairs and Consumer Protection (ed.), Nationaler Aktionsplan Behinderung 2012-2020, 2</w:t>
      </w:r>
      <w:r w:rsidR="00404E48" w:rsidRPr="00404E48">
        <w:rPr>
          <w:vertAlign w:val="superscript"/>
          <w:lang w:val="en-US"/>
        </w:rPr>
        <w:t>nd</w:t>
      </w:r>
      <w:r w:rsidR="00404E48">
        <w:rPr>
          <w:lang w:val="en-US"/>
        </w:rPr>
        <w:t xml:space="preserve"> edition, 2016.</w:t>
      </w:r>
    </w:p>
  </w:footnote>
  <w:footnote w:id="6">
    <w:p w14:paraId="788A32FD" w14:textId="77777777" w:rsidR="005C5897" w:rsidRPr="00C15DA3" w:rsidRDefault="005C5897">
      <w:pPr>
        <w:pStyle w:val="FootnoteText"/>
        <w:rPr>
          <w:lang w:val="en-US"/>
        </w:rPr>
      </w:pPr>
      <w:r>
        <w:rPr>
          <w:rStyle w:val="FootnoteReference"/>
        </w:rPr>
        <w:footnoteRef/>
      </w:r>
      <w:r w:rsidRPr="00C15DA3">
        <w:rPr>
          <w:lang w:val="en-US"/>
        </w:rPr>
        <w:t xml:space="preserve"> See ibid., 11.</w:t>
      </w:r>
    </w:p>
  </w:footnote>
  <w:footnote w:id="7">
    <w:p w14:paraId="68D2FE4E" w14:textId="77777777" w:rsidR="005C5897" w:rsidRPr="003E3758" w:rsidRDefault="005C5897">
      <w:pPr>
        <w:pStyle w:val="FootnoteText"/>
        <w:rPr>
          <w:lang w:val="en-US"/>
        </w:rPr>
      </w:pPr>
      <w:r>
        <w:rPr>
          <w:rStyle w:val="FootnoteReference"/>
        </w:rPr>
        <w:footnoteRef/>
      </w:r>
      <w:r w:rsidRPr="003E3758">
        <w:rPr>
          <w:lang w:val="en-US"/>
        </w:rPr>
        <w:t xml:space="preserve"> </w:t>
      </w:r>
      <w:r w:rsidR="003E3758" w:rsidRPr="003E3758">
        <w:rPr>
          <w:lang w:val="en-US"/>
        </w:rPr>
        <w:t>S</w:t>
      </w:r>
      <w:r w:rsidR="003E3758">
        <w:rPr>
          <w:lang w:val="en-US"/>
        </w:rPr>
        <w:t>ee</w:t>
      </w:r>
      <w:r w:rsidR="003E3758" w:rsidRPr="003E3758">
        <w:rPr>
          <w:lang w:val="en-US"/>
        </w:rPr>
        <w:t xml:space="preserve"> </w:t>
      </w:r>
      <w:r w:rsidRPr="003E3758">
        <w:rPr>
          <w:lang w:val="en-US"/>
        </w:rPr>
        <w:t>Federal Ministry of Labour, Social Affairs and Consumer Protection</w:t>
      </w:r>
      <w:r w:rsidR="005A7C0D" w:rsidRPr="003E3758">
        <w:rPr>
          <w:lang w:val="en-US"/>
        </w:rPr>
        <w:t xml:space="preserve"> (ed.)</w:t>
      </w:r>
      <w:r w:rsidRPr="003E3758">
        <w:rPr>
          <w:lang w:val="en-US"/>
        </w:rPr>
        <w:t>, Begleitgruppe zum Nationalen Aktionsplan Behinderung – Statistiken, 2013.</w:t>
      </w:r>
    </w:p>
  </w:footnote>
  <w:footnote w:id="8">
    <w:p w14:paraId="0172F3D8" w14:textId="77777777" w:rsidR="003E3758" w:rsidRPr="003E3758" w:rsidRDefault="003E3758">
      <w:pPr>
        <w:pStyle w:val="FootnoteText"/>
        <w:rPr>
          <w:lang w:val="en-US"/>
        </w:rPr>
      </w:pPr>
      <w:r>
        <w:rPr>
          <w:rStyle w:val="FootnoteReference"/>
        </w:rPr>
        <w:footnoteRef/>
      </w:r>
      <w:r w:rsidRPr="003E3758">
        <w:rPr>
          <w:lang w:val="en-US"/>
        </w:rPr>
        <w:t xml:space="preserve"> See </w:t>
      </w:r>
      <w:r>
        <w:rPr>
          <w:lang w:val="en-US"/>
        </w:rPr>
        <w:t>Federal Ministry of Labour, Social Affairs and Consumer Protection (ed.), Nationaler Aktionsplan Behinderung 2012-2020, 2</w:t>
      </w:r>
      <w:r w:rsidRPr="00404E48">
        <w:rPr>
          <w:vertAlign w:val="superscript"/>
          <w:lang w:val="en-US"/>
        </w:rPr>
        <w:t>nd</w:t>
      </w:r>
      <w:r>
        <w:rPr>
          <w:lang w:val="en-US"/>
        </w:rPr>
        <w:t xml:space="preserve"> edition, 2016, 9.</w:t>
      </w:r>
    </w:p>
  </w:footnote>
  <w:footnote w:id="9">
    <w:p w14:paraId="32016276" w14:textId="77777777" w:rsidR="00E528B7" w:rsidRDefault="00E528B7" w:rsidP="00C07873">
      <w:pPr>
        <w:pStyle w:val="FootnoteText"/>
        <w:jc w:val="left"/>
      </w:pPr>
      <w:r>
        <w:rPr>
          <w:rStyle w:val="FootnoteReference"/>
        </w:rPr>
        <w:footnoteRef/>
      </w:r>
      <w:r>
        <w:t xml:space="preserve"> See Pensionsversicherungsanstalt (ed.), Pflegegeld-Auszahlung, online: </w:t>
      </w:r>
      <w:r w:rsidRPr="00807BE9">
        <w:t>http://www.pensionsversicherung.at/portal27/pvaportal/content?contentid=10007.707702&amp;viewmode=content</w:t>
      </w:r>
      <w:r>
        <w:t xml:space="preserve"> [accessed April 04, 2017].</w:t>
      </w:r>
    </w:p>
  </w:footnote>
  <w:footnote w:id="10">
    <w:p w14:paraId="7A2B1D29" w14:textId="77777777" w:rsidR="00401482" w:rsidRDefault="00401482" w:rsidP="00401482">
      <w:pPr>
        <w:pStyle w:val="FootnoteText"/>
      </w:pPr>
      <w:r>
        <w:rPr>
          <w:rStyle w:val="FootnoteReference"/>
        </w:rPr>
        <w:footnoteRef/>
      </w:r>
      <w:r>
        <w:t xml:space="preserve"> Bundesgesetz, mit dem ein Pflegegeld eingeführt wird (Bundespflegegeldgesetz — BPGG)</w:t>
      </w:r>
    </w:p>
    <w:p w14:paraId="630AA07F" w14:textId="77777777" w:rsidR="00401482" w:rsidRPr="00C15DA3" w:rsidRDefault="00401482" w:rsidP="00401482">
      <w:pPr>
        <w:pStyle w:val="FootnoteText"/>
        <w:rPr>
          <w:lang w:val="en-US"/>
        </w:rPr>
      </w:pPr>
      <w:r w:rsidRPr="00C15DA3">
        <w:rPr>
          <w:lang w:val="en-US"/>
        </w:rPr>
        <w:t>StF: BGBl. Nr. 110/1993, §4 para. 2.</w:t>
      </w:r>
    </w:p>
  </w:footnote>
  <w:footnote w:id="11">
    <w:p w14:paraId="29BC0E44" w14:textId="77777777" w:rsidR="00AD76BE" w:rsidRPr="005A4983" w:rsidRDefault="00AD76BE">
      <w:pPr>
        <w:pStyle w:val="FootnoteText"/>
        <w:rPr>
          <w:lang w:val="en-US"/>
        </w:rPr>
      </w:pPr>
      <w:r>
        <w:rPr>
          <w:rStyle w:val="FootnoteReference"/>
        </w:rPr>
        <w:footnoteRef/>
      </w:r>
      <w:r w:rsidRPr="005A4983">
        <w:rPr>
          <w:lang w:val="en-US"/>
        </w:rPr>
        <w:t xml:space="preserve"> See ibid., §5.</w:t>
      </w:r>
    </w:p>
  </w:footnote>
  <w:footnote w:id="12">
    <w:p w14:paraId="2E7C1049" w14:textId="77777777" w:rsidR="00393858" w:rsidRPr="005A4983" w:rsidRDefault="00393858">
      <w:pPr>
        <w:pStyle w:val="FootnoteText"/>
        <w:rPr>
          <w:lang w:val="en-US"/>
        </w:rPr>
      </w:pPr>
      <w:r>
        <w:rPr>
          <w:rStyle w:val="FootnoteReference"/>
        </w:rPr>
        <w:footnoteRef/>
      </w:r>
      <w:r w:rsidR="008266A2">
        <w:rPr>
          <w:lang w:val="en-US"/>
        </w:rPr>
        <w:t xml:space="preserve"> </w:t>
      </w:r>
      <w:r w:rsidR="005A4983" w:rsidRPr="003E3758">
        <w:rPr>
          <w:lang w:val="en-US"/>
        </w:rPr>
        <w:t xml:space="preserve">See </w:t>
      </w:r>
      <w:r w:rsidR="005A4983">
        <w:rPr>
          <w:lang w:val="en-US"/>
        </w:rPr>
        <w:t>Federal Ministry of Labour, Social Affairs and Consumer Protection (ed.), Nationaler Aktionsplan Behinderung 2012-2020, 2</w:t>
      </w:r>
      <w:r w:rsidR="005A4983" w:rsidRPr="00404E48">
        <w:rPr>
          <w:vertAlign w:val="superscript"/>
          <w:lang w:val="en-US"/>
        </w:rPr>
        <w:t>nd</w:t>
      </w:r>
      <w:r w:rsidR="005A4983">
        <w:rPr>
          <w:lang w:val="en-US"/>
        </w:rPr>
        <w:t xml:space="preserve"> edition, 2016, 30.</w:t>
      </w:r>
    </w:p>
  </w:footnote>
  <w:footnote w:id="13">
    <w:p w14:paraId="6889823B" w14:textId="77777777" w:rsidR="00B231A6" w:rsidRPr="00B231A6" w:rsidRDefault="00B231A6">
      <w:pPr>
        <w:pStyle w:val="FootnoteText"/>
      </w:pPr>
      <w:r>
        <w:rPr>
          <w:rStyle w:val="FootnoteReference"/>
        </w:rPr>
        <w:footnoteRef/>
      </w:r>
      <w:r w:rsidRPr="00B231A6">
        <w:t xml:space="preserve"> See Land Vorarlberg (ed.), Zuschuss zum Pflegegeld bei ambulanter Pflege, on</w:t>
      </w:r>
      <w:r>
        <w:t>line:</w:t>
      </w:r>
      <w:r w:rsidRPr="00B231A6">
        <w:t xml:space="preserve"> </w:t>
      </w:r>
      <w:hyperlink r:id="rId1" w:history="1">
        <w:r w:rsidRPr="00545093">
          <w:rPr>
            <w:rStyle w:val="Hyperlink"/>
          </w:rPr>
          <w:t>http://www.behinderung-vorarlberg.at/Seiten/ZuschusszumPflegegeldbeiambulanterPflege.aspx</w:t>
        </w:r>
      </w:hyperlink>
      <w:r>
        <w:t xml:space="preserve"> [accessed April 4, 2017].</w:t>
      </w:r>
    </w:p>
  </w:footnote>
  <w:footnote w:id="14">
    <w:p w14:paraId="7E55F6BC" w14:textId="77777777" w:rsidR="002F343F" w:rsidRPr="00C15DA3" w:rsidRDefault="002F343F">
      <w:pPr>
        <w:pStyle w:val="FootnoteText"/>
      </w:pPr>
      <w:r>
        <w:rPr>
          <w:rStyle w:val="FootnoteReference"/>
        </w:rPr>
        <w:footnoteRef/>
      </w:r>
      <w:r w:rsidRPr="00C15DA3">
        <w:t xml:space="preserve"> See ibid., 29.</w:t>
      </w:r>
    </w:p>
  </w:footnote>
  <w:footnote w:id="15">
    <w:p w14:paraId="42E77A51" w14:textId="77777777" w:rsidR="008C69F9" w:rsidRDefault="008C69F9">
      <w:pPr>
        <w:pStyle w:val="FootnoteText"/>
      </w:pPr>
      <w:r>
        <w:rPr>
          <w:rStyle w:val="FootnoteReference"/>
        </w:rPr>
        <w:footnoteRef/>
      </w:r>
      <w:r>
        <w:t xml:space="preserve"> Arbeiterkammer (ed.), Pflege und Betreuung von älteren Menschen, </w:t>
      </w:r>
    </w:p>
  </w:footnote>
  <w:footnote w:id="16">
    <w:p w14:paraId="454C3E2E" w14:textId="77777777" w:rsidR="00E0186B" w:rsidRPr="0010585E" w:rsidRDefault="00E0186B" w:rsidP="00E0186B">
      <w:pPr>
        <w:pStyle w:val="FootnoteText"/>
      </w:pPr>
      <w:r>
        <w:rPr>
          <w:rStyle w:val="FootnoteReference"/>
        </w:rPr>
        <w:footnoteRef/>
      </w:r>
      <w:r w:rsidRPr="0010585E">
        <w:t xml:space="preserve"> Arbeitsvertragsrechts-Anpassungsgesetz – AVRAG StF: BGBl. Nr. 459/1993</w:t>
      </w:r>
      <w:r>
        <w:t xml:space="preserve"> idgF, §14a.</w:t>
      </w:r>
    </w:p>
  </w:footnote>
  <w:footnote w:id="17">
    <w:p w14:paraId="18FA52DD" w14:textId="77777777" w:rsidR="00885A2F" w:rsidRPr="00885A2F" w:rsidRDefault="00885A2F" w:rsidP="00D671B0">
      <w:pPr>
        <w:pStyle w:val="FootnoteText"/>
        <w:jc w:val="left"/>
        <w:rPr>
          <w:lang w:val="en-US"/>
        </w:rPr>
      </w:pPr>
      <w:r>
        <w:rPr>
          <w:rStyle w:val="FootnoteReference"/>
        </w:rPr>
        <w:footnoteRef/>
      </w:r>
      <w:r w:rsidRPr="00885A2F">
        <w:rPr>
          <w:lang w:val="en-US"/>
        </w:rPr>
        <w:t xml:space="preserve"> Ministry for Social Affairs (ed.),</w:t>
      </w:r>
      <w:r>
        <w:rPr>
          <w:lang w:val="en-US"/>
        </w:rPr>
        <w:t xml:space="preserve"> Österreich Sozial, online: </w:t>
      </w:r>
      <w:hyperlink r:id="rId2" w:history="1">
        <w:r w:rsidRPr="007E5F37">
          <w:rPr>
            <w:rStyle w:val="Hyperlink"/>
            <w:lang w:val="en-US"/>
          </w:rPr>
          <w:t>https://www.infoservice.sozialministerium.at/InfoService2/;jsessionid=25570D006EE50AF3C9306EE99EED8215;jsessionid=85EA58ABB03B5FA0CE052D2E7A18A7C1?execution=e1s16</w:t>
        </w:r>
      </w:hyperlink>
      <w:r>
        <w:rPr>
          <w:lang w:val="en-US"/>
        </w:rPr>
        <w:t xml:space="preserve"> [accessed: April 7, 2017]</w:t>
      </w:r>
    </w:p>
  </w:footnote>
  <w:footnote w:id="18">
    <w:p w14:paraId="5649AE31" w14:textId="77777777" w:rsidR="009C625D" w:rsidRDefault="009C625D">
      <w:pPr>
        <w:pStyle w:val="FootnoteText"/>
      </w:pPr>
      <w:r>
        <w:rPr>
          <w:rStyle w:val="FootnoteReference"/>
        </w:rPr>
        <w:footnoteRef/>
      </w:r>
      <w:r>
        <w:t xml:space="preserve"> </w:t>
      </w:r>
      <w:r w:rsidR="007D2041">
        <w:t xml:space="preserve">See </w:t>
      </w:r>
      <w:r>
        <w:t xml:space="preserve">Lukawetz et. al., </w:t>
      </w:r>
      <w:r w:rsidRPr="009C625D">
        <w:t>Demographie und Sozialstatistik von EPU/Solo-Selbstständigen - Analysen aus den Datenbeständen der Statistik Austria</w:t>
      </w:r>
      <w:r>
        <w:t>, 2015, 12.</w:t>
      </w:r>
    </w:p>
  </w:footnote>
  <w:footnote w:id="19">
    <w:p w14:paraId="63AC79B2" w14:textId="77777777" w:rsidR="00B7268E" w:rsidRDefault="00B7268E" w:rsidP="003516A6">
      <w:pPr>
        <w:pStyle w:val="FootnoteText"/>
      </w:pPr>
      <w:r>
        <w:rPr>
          <w:rStyle w:val="FootnoteReference"/>
        </w:rPr>
        <w:footnoteRef/>
      </w:r>
      <w:r>
        <w:t xml:space="preserve"> </w:t>
      </w:r>
      <w:r w:rsidR="00D56478">
        <w:t xml:space="preserve">See: </w:t>
      </w:r>
      <w:r>
        <w:t>Klaus Mayr, Einfluss des Gemeinschaftsrechts auf das österreichische Arbeitsrecht, in: WISO 4/2001, 115-139, 122</w:t>
      </w:r>
      <w:r w:rsidR="000F150B">
        <w:t xml:space="preserve">; Bundesgesetz vom 11. Dezember 1969 über die Regelung der Arbeitszeit (Arbeitszeitgesetz) (AZG), StF: BGBl. Nr. 461/1969; Bundesgesetz, mit dem ein Arbeitszeitgesetz für Angehörige von Gesundheitsberufen in Kranken-, Pflegeanstalten und ähnlichen Einrichtungen geschaffen wird (Krankenanstalten-Arbeitszeitgesetz - KA-AZG), StF: BGBl: </w:t>
      </w:r>
      <w:r w:rsidR="003516A6">
        <w:t>I Nr. 8/1997</w:t>
      </w:r>
      <w:r w:rsidR="000F150B">
        <w:t>;</w:t>
      </w:r>
      <w:r w:rsidR="003516A6">
        <w:t xml:space="preserve"> Bundesgesetz vom 3. Feber 1983 über die wöchentliche Ruhezeit und die Arbeitsruhe an Feiertagen (Arbeitsruhegesetz - ARG), StF: BGBl. Nr. 144/1983</w:t>
      </w:r>
      <w:r w:rsidR="000F150B">
        <w:t xml:space="preserve"> </w:t>
      </w:r>
      <w:r w:rsidR="003516A6">
        <w:t>.</w:t>
      </w:r>
    </w:p>
  </w:footnote>
  <w:footnote w:id="20">
    <w:p w14:paraId="6AC59115" w14:textId="77777777" w:rsidR="008E6D0F" w:rsidRPr="00C15DA3" w:rsidRDefault="008E6D0F" w:rsidP="008E6D0F">
      <w:pPr>
        <w:pStyle w:val="FootnoteText"/>
      </w:pPr>
      <w:r>
        <w:rPr>
          <w:rStyle w:val="FootnoteReference"/>
        </w:rPr>
        <w:footnoteRef/>
      </w:r>
      <w:r w:rsidRPr="00C15DA3">
        <w:t xml:space="preserve"> Franz Schrank, Arbeitszeitgesetze – Kommentar, 2015, 601.</w:t>
      </w:r>
    </w:p>
  </w:footnote>
  <w:footnote w:id="21">
    <w:p w14:paraId="385BB04A" w14:textId="77777777" w:rsidR="00E973E0" w:rsidRPr="00C15DA3" w:rsidRDefault="00E973E0">
      <w:pPr>
        <w:pStyle w:val="FootnoteText"/>
      </w:pPr>
      <w:r>
        <w:rPr>
          <w:rStyle w:val="FootnoteReference"/>
        </w:rPr>
        <w:footnoteRef/>
      </w:r>
      <w:r w:rsidRPr="00C15DA3">
        <w:t xml:space="preserve"> </w:t>
      </w:r>
      <w:r w:rsidR="006E43AC" w:rsidRPr="00C15DA3">
        <w:t xml:space="preserve">See </w:t>
      </w:r>
      <w:r w:rsidRPr="00C15DA3">
        <w:t>Arbeitszeitgesetz, §3.</w:t>
      </w:r>
    </w:p>
  </w:footnote>
  <w:footnote w:id="22">
    <w:p w14:paraId="3086E2D2" w14:textId="77777777" w:rsidR="00714075" w:rsidRPr="00714075" w:rsidRDefault="00714075">
      <w:pPr>
        <w:pStyle w:val="FootnoteText"/>
        <w:rPr>
          <w:lang w:val="en-US"/>
        </w:rPr>
      </w:pPr>
      <w:r>
        <w:rPr>
          <w:rStyle w:val="FootnoteReference"/>
        </w:rPr>
        <w:footnoteRef/>
      </w:r>
      <w:r w:rsidRPr="00714075">
        <w:rPr>
          <w:lang w:val="en-US"/>
        </w:rPr>
        <w:t xml:space="preserve"> </w:t>
      </w:r>
      <w:r w:rsidR="005667B7">
        <w:rPr>
          <w:lang w:val="en-US"/>
        </w:rPr>
        <w:t>See ibid., §4a.</w:t>
      </w:r>
    </w:p>
  </w:footnote>
  <w:footnote w:id="23">
    <w:p w14:paraId="41B86742" w14:textId="77777777" w:rsidR="00537EBF" w:rsidRPr="00537EBF" w:rsidRDefault="00537EBF">
      <w:pPr>
        <w:pStyle w:val="FootnoteText"/>
        <w:rPr>
          <w:lang w:val="en-US"/>
        </w:rPr>
      </w:pPr>
      <w:r>
        <w:rPr>
          <w:rStyle w:val="FootnoteReference"/>
        </w:rPr>
        <w:footnoteRef/>
      </w:r>
      <w:r w:rsidRPr="00537EBF">
        <w:rPr>
          <w:lang w:val="en-US"/>
        </w:rPr>
        <w:t xml:space="preserve"> </w:t>
      </w:r>
      <w:r>
        <w:rPr>
          <w:lang w:val="en-US"/>
        </w:rPr>
        <w:t>See ibid., §4b.</w:t>
      </w:r>
    </w:p>
  </w:footnote>
  <w:footnote w:id="24">
    <w:p w14:paraId="5A5E2811" w14:textId="77777777" w:rsidR="008A2959" w:rsidRPr="00265CC0" w:rsidRDefault="008A2959">
      <w:pPr>
        <w:pStyle w:val="FootnoteText"/>
        <w:rPr>
          <w:lang w:val="en-US"/>
        </w:rPr>
      </w:pPr>
      <w:r>
        <w:rPr>
          <w:rStyle w:val="FootnoteReference"/>
        </w:rPr>
        <w:footnoteRef/>
      </w:r>
      <w:r w:rsidRPr="00265CC0">
        <w:rPr>
          <w:lang w:val="en-US"/>
        </w:rPr>
        <w:t xml:space="preserve"> See ibid., §5.</w:t>
      </w:r>
    </w:p>
  </w:footnote>
  <w:footnote w:id="25">
    <w:p w14:paraId="6933ECE4" w14:textId="77777777" w:rsidR="00942719" w:rsidRPr="00942719" w:rsidRDefault="00942719">
      <w:pPr>
        <w:pStyle w:val="FootnoteText"/>
        <w:rPr>
          <w:lang w:val="en-US"/>
        </w:rPr>
      </w:pPr>
      <w:r>
        <w:rPr>
          <w:rStyle w:val="FootnoteReference"/>
        </w:rPr>
        <w:footnoteRef/>
      </w:r>
      <w:r w:rsidRPr="00942719">
        <w:rPr>
          <w:lang w:val="en-US"/>
        </w:rPr>
        <w:t xml:space="preserve"> </w:t>
      </w:r>
      <w:r>
        <w:rPr>
          <w:lang w:val="en-US"/>
        </w:rPr>
        <w:t>See ibid., §9 para. 4; WTD, Art. 16</w:t>
      </w:r>
      <w:r w:rsidR="006532EB">
        <w:rPr>
          <w:lang w:val="en-US"/>
        </w:rPr>
        <w:t xml:space="preserve"> lit. </w:t>
      </w:r>
      <w:r>
        <w:rPr>
          <w:lang w:val="en-US"/>
        </w:rPr>
        <w:t>b.</w:t>
      </w:r>
    </w:p>
  </w:footnote>
  <w:footnote w:id="26">
    <w:p w14:paraId="0813C312" w14:textId="77777777" w:rsidR="000A361C" w:rsidRPr="007F73BA" w:rsidRDefault="000A361C">
      <w:pPr>
        <w:pStyle w:val="FootnoteText"/>
        <w:rPr>
          <w:lang w:val="en-US"/>
        </w:rPr>
      </w:pPr>
      <w:r>
        <w:rPr>
          <w:rStyle w:val="FootnoteReference"/>
        </w:rPr>
        <w:footnoteRef/>
      </w:r>
      <w:r w:rsidRPr="007F73BA">
        <w:rPr>
          <w:lang w:val="en-US"/>
        </w:rPr>
        <w:t xml:space="preserve"> See S</w:t>
      </w:r>
      <w:r w:rsidR="004B56BF" w:rsidRPr="007F73BA">
        <w:rPr>
          <w:lang w:val="en-US"/>
        </w:rPr>
        <w:t>chrank, Arbeitszeitgesetze, 284: standby duty in general as defined in §5 Working Hours Act, lorry drivers</w:t>
      </w:r>
      <w:r w:rsidR="007F73BA">
        <w:rPr>
          <w:lang w:val="en-US"/>
        </w:rPr>
        <w:t xml:space="preserve"> - §13b para. 3 Working Hours Act, public pharmacy workers - §19a para. 2 Working Hours Act.</w:t>
      </w:r>
      <w:r w:rsidR="004B56BF" w:rsidRPr="007F73BA">
        <w:rPr>
          <w:lang w:val="en-US"/>
        </w:rPr>
        <w:t xml:space="preserve"> </w:t>
      </w:r>
    </w:p>
  </w:footnote>
  <w:footnote w:id="27">
    <w:p w14:paraId="792F2DA7" w14:textId="77777777" w:rsidR="00C4788C" w:rsidRPr="00C4788C" w:rsidRDefault="00C4788C">
      <w:pPr>
        <w:pStyle w:val="FootnoteText"/>
        <w:rPr>
          <w:lang w:val="en-US"/>
        </w:rPr>
      </w:pPr>
      <w:r>
        <w:rPr>
          <w:rStyle w:val="FootnoteReference"/>
        </w:rPr>
        <w:footnoteRef/>
      </w:r>
      <w:r w:rsidR="00A84F3A">
        <w:rPr>
          <w:lang w:val="en-US"/>
        </w:rPr>
        <w:t xml:space="preserve"> </w:t>
      </w:r>
      <w:r w:rsidRPr="00C4788C">
        <w:rPr>
          <w:lang w:val="en-US"/>
        </w:rPr>
        <w:t>Report from the Commission to the European Parliament, the Council, the European Committee and the Committee of the Regions on implementation by Member States of Directive 2003/88/EC (</w:t>
      </w:r>
      <w:r>
        <w:rPr>
          <w:lang w:val="en-US"/>
        </w:rPr>
        <w:t>‘</w:t>
      </w:r>
      <w:r w:rsidRPr="00C4788C">
        <w:rPr>
          <w:lang w:val="en-US"/>
        </w:rPr>
        <w:t>The Working Time Directive‘</w:t>
      </w:r>
      <w:r>
        <w:rPr>
          <w:lang w:val="en-US"/>
        </w:rPr>
        <w:t>), SEC (2010) 1611, 3ff.</w:t>
      </w:r>
    </w:p>
  </w:footnote>
  <w:footnote w:id="28">
    <w:p w14:paraId="21F74EA4" w14:textId="77777777" w:rsidR="007C40CE" w:rsidRPr="00C15DA3" w:rsidRDefault="007C40CE">
      <w:pPr>
        <w:pStyle w:val="FootnoteText"/>
        <w:rPr>
          <w:lang w:val="en-US"/>
        </w:rPr>
      </w:pPr>
      <w:r>
        <w:rPr>
          <w:rStyle w:val="FootnoteReference"/>
        </w:rPr>
        <w:footnoteRef/>
      </w:r>
      <w:r w:rsidRPr="00C15DA3">
        <w:rPr>
          <w:lang w:val="en-US"/>
        </w:rPr>
        <w:t xml:space="preserve"> KA-AZG, §1 para. 1 (11).</w:t>
      </w:r>
    </w:p>
  </w:footnote>
  <w:footnote w:id="29">
    <w:p w14:paraId="27909D81" w14:textId="77777777" w:rsidR="007C40CE" w:rsidRPr="00C15DA3" w:rsidRDefault="007C40CE">
      <w:pPr>
        <w:pStyle w:val="FootnoteText"/>
        <w:rPr>
          <w:lang w:val="en-US"/>
        </w:rPr>
      </w:pPr>
      <w:r>
        <w:rPr>
          <w:rStyle w:val="FootnoteReference"/>
        </w:rPr>
        <w:footnoteRef/>
      </w:r>
      <w:r w:rsidRPr="00C15DA3">
        <w:rPr>
          <w:lang w:val="en-US"/>
        </w:rPr>
        <w:t xml:space="preserve"> EB RV 386 BlgNR XX. GP.</w:t>
      </w:r>
    </w:p>
  </w:footnote>
  <w:footnote w:id="30">
    <w:p w14:paraId="71F732FB" w14:textId="420E4E39" w:rsidR="00D421D0" w:rsidRDefault="00D421D0">
      <w:pPr>
        <w:pStyle w:val="FootnoteText"/>
      </w:pPr>
      <w:r>
        <w:rPr>
          <w:rStyle w:val="FootnoteReference"/>
        </w:rPr>
        <w:footnoteRef/>
      </w:r>
      <w:r>
        <w:t xml:space="preserve"> </w:t>
      </w:r>
      <w:r>
        <w:rPr>
          <w:lang w:val="en-US"/>
        </w:rPr>
        <w:t>KA-AZG, §4 para. 4b</w:t>
      </w:r>
      <w:r w:rsidRPr="00C15DA3">
        <w:rPr>
          <w:lang w:val="en-U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74"/>
    <w:rsid w:val="000100A3"/>
    <w:rsid w:val="0001029C"/>
    <w:rsid w:val="000245C3"/>
    <w:rsid w:val="000248D4"/>
    <w:rsid w:val="00056285"/>
    <w:rsid w:val="0006777E"/>
    <w:rsid w:val="0008394B"/>
    <w:rsid w:val="00086631"/>
    <w:rsid w:val="000A1CCE"/>
    <w:rsid w:val="000A31F6"/>
    <w:rsid w:val="000A361C"/>
    <w:rsid w:val="000A3A79"/>
    <w:rsid w:val="000A72CD"/>
    <w:rsid w:val="000C14D6"/>
    <w:rsid w:val="000D3FE1"/>
    <w:rsid w:val="000E19E9"/>
    <w:rsid w:val="000E75C4"/>
    <w:rsid w:val="000F150B"/>
    <w:rsid w:val="0010585E"/>
    <w:rsid w:val="00110B90"/>
    <w:rsid w:val="00122D1D"/>
    <w:rsid w:val="00124672"/>
    <w:rsid w:val="00131855"/>
    <w:rsid w:val="00134440"/>
    <w:rsid w:val="001379F9"/>
    <w:rsid w:val="00144924"/>
    <w:rsid w:val="0014672F"/>
    <w:rsid w:val="00146DFD"/>
    <w:rsid w:val="00151A55"/>
    <w:rsid w:val="00157F2F"/>
    <w:rsid w:val="00163027"/>
    <w:rsid w:val="001679B1"/>
    <w:rsid w:val="00171146"/>
    <w:rsid w:val="001714CF"/>
    <w:rsid w:val="0017301F"/>
    <w:rsid w:val="001736C9"/>
    <w:rsid w:val="00176DB3"/>
    <w:rsid w:val="00183772"/>
    <w:rsid w:val="001963BA"/>
    <w:rsid w:val="00197E66"/>
    <w:rsid w:val="001A3968"/>
    <w:rsid w:val="001B057E"/>
    <w:rsid w:val="001B2B88"/>
    <w:rsid w:val="001B47A5"/>
    <w:rsid w:val="001C1BE1"/>
    <w:rsid w:val="001C52C8"/>
    <w:rsid w:val="001C54CD"/>
    <w:rsid w:val="001C6866"/>
    <w:rsid w:val="001D3EBE"/>
    <w:rsid w:val="001D5588"/>
    <w:rsid w:val="001E023B"/>
    <w:rsid w:val="001E18C3"/>
    <w:rsid w:val="001F133E"/>
    <w:rsid w:val="001F1FC5"/>
    <w:rsid w:val="001F58AE"/>
    <w:rsid w:val="00206135"/>
    <w:rsid w:val="00210BCF"/>
    <w:rsid w:val="00216A8D"/>
    <w:rsid w:val="0022159B"/>
    <w:rsid w:val="002225BA"/>
    <w:rsid w:val="00224B38"/>
    <w:rsid w:val="00227EDD"/>
    <w:rsid w:val="00242A73"/>
    <w:rsid w:val="00247374"/>
    <w:rsid w:val="00257B73"/>
    <w:rsid w:val="00257ED6"/>
    <w:rsid w:val="00265CC0"/>
    <w:rsid w:val="00265F33"/>
    <w:rsid w:val="0028176D"/>
    <w:rsid w:val="00283310"/>
    <w:rsid w:val="00286145"/>
    <w:rsid w:val="00287A82"/>
    <w:rsid w:val="00294CE8"/>
    <w:rsid w:val="002A0722"/>
    <w:rsid w:val="002D094A"/>
    <w:rsid w:val="002D3F80"/>
    <w:rsid w:val="002D4F32"/>
    <w:rsid w:val="002E12AE"/>
    <w:rsid w:val="002F14CE"/>
    <w:rsid w:val="002F343F"/>
    <w:rsid w:val="00302D48"/>
    <w:rsid w:val="0030438D"/>
    <w:rsid w:val="00306C8A"/>
    <w:rsid w:val="00306CB8"/>
    <w:rsid w:val="0032014C"/>
    <w:rsid w:val="003273B2"/>
    <w:rsid w:val="0033686C"/>
    <w:rsid w:val="00344E50"/>
    <w:rsid w:val="00351044"/>
    <w:rsid w:val="003516A6"/>
    <w:rsid w:val="00351CFF"/>
    <w:rsid w:val="003708D4"/>
    <w:rsid w:val="003729A4"/>
    <w:rsid w:val="00374A90"/>
    <w:rsid w:val="00393858"/>
    <w:rsid w:val="003957B3"/>
    <w:rsid w:val="003969CB"/>
    <w:rsid w:val="0039709B"/>
    <w:rsid w:val="003B5F43"/>
    <w:rsid w:val="003B6F97"/>
    <w:rsid w:val="003B7A6D"/>
    <w:rsid w:val="003C0947"/>
    <w:rsid w:val="003D1FB0"/>
    <w:rsid w:val="003D2A86"/>
    <w:rsid w:val="003D3ADD"/>
    <w:rsid w:val="003E30A4"/>
    <w:rsid w:val="003E3758"/>
    <w:rsid w:val="003E55A2"/>
    <w:rsid w:val="003E7528"/>
    <w:rsid w:val="003F0BFB"/>
    <w:rsid w:val="003F4B78"/>
    <w:rsid w:val="00401482"/>
    <w:rsid w:val="00404E48"/>
    <w:rsid w:val="0040518B"/>
    <w:rsid w:val="004109DE"/>
    <w:rsid w:val="00436BE8"/>
    <w:rsid w:val="00450A2B"/>
    <w:rsid w:val="00452C77"/>
    <w:rsid w:val="00455991"/>
    <w:rsid w:val="00457BB9"/>
    <w:rsid w:val="004606DC"/>
    <w:rsid w:val="0046349E"/>
    <w:rsid w:val="0046530B"/>
    <w:rsid w:val="00485F72"/>
    <w:rsid w:val="00495783"/>
    <w:rsid w:val="004A03E0"/>
    <w:rsid w:val="004A137A"/>
    <w:rsid w:val="004B56BF"/>
    <w:rsid w:val="004E46F7"/>
    <w:rsid w:val="004F1453"/>
    <w:rsid w:val="004F65A3"/>
    <w:rsid w:val="005000B2"/>
    <w:rsid w:val="0051352E"/>
    <w:rsid w:val="00515734"/>
    <w:rsid w:val="0052547E"/>
    <w:rsid w:val="00531623"/>
    <w:rsid w:val="005336D2"/>
    <w:rsid w:val="00537EBF"/>
    <w:rsid w:val="00547549"/>
    <w:rsid w:val="005476E3"/>
    <w:rsid w:val="005508FC"/>
    <w:rsid w:val="00550DDE"/>
    <w:rsid w:val="0055698A"/>
    <w:rsid w:val="00561ED9"/>
    <w:rsid w:val="0056441E"/>
    <w:rsid w:val="00565C3A"/>
    <w:rsid w:val="005667B7"/>
    <w:rsid w:val="00570844"/>
    <w:rsid w:val="00577F47"/>
    <w:rsid w:val="005832FE"/>
    <w:rsid w:val="00585001"/>
    <w:rsid w:val="005A0B43"/>
    <w:rsid w:val="005A4983"/>
    <w:rsid w:val="005A675C"/>
    <w:rsid w:val="005A7C0D"/>
    <w:rsid w:val="005B3130"/>
    <w:rsid w:val="005B5661"/>
    <w:rsid w:val="005C3F0A"/>
    <w:rsid w:val="005C533C"/>
    <w:rsid w:val="005C5897"/>
    <w:rsid w:val="005C5983"/>
    <w:rsid w:val="005C610E"/>
    <w:rsid w:val="005D5765"/>
    <w:rsid w:val="005F0E1E"/>
    <w:rsid w:val="005F7011"/>
    <w:rsid w:val="006024F1"/>
    <w:rsid w:val="0061340A"/>
    <w:rsid w:val="006140F2"/>
    <w:rsid w:val="00615938"/>
    <w:rsid w:val="006251B9"/>
    <w:rsid w:val="00625615"/>
    <w:rsid w:val="006532EB"/>
    <w:rsid w:val="006725AB"/>
    <w:rsid w:val="00672B2B"/>
    <w:rsid w:val="006812A7"/>
    <w:rsid w:val="006813B1"/>
    <w:rsid w:val="00681507"/>
    <w:rsid w:val="006A6096"/>
    <w:rsid w:val="006B26B2"/>
    <w:rsid w:val="006B3229"/>
    <w:rsid w:val="006B597B"/>
    <w:rsid w:val="006C1E7A"/>
    <w:rsid w:val="006D28E7"/>
    <w:rsid w:val="006E43AC"/>
    <w:rsid w:val="006F00C7"/>
    <w:rsid w:val="006F3BE0"/>
    <w:rsid w:val="007034DE"/>
    <w:rsid w:val="00705BDC"/>
    <w:rsid w:val="00707A5A"/>
    <w:rsid w:val="00713E1A"/>
    <w:rsid w:val="00714075"/>
    <w:rsid w:val="00716884"/>
    <w:rsid w:val="00720FE4"/>
    <w:rsid w:val="00726243"/>
    <w:rsid w:val="0073282D"/>
    <w:rsid w:val="007432B3"/>
    <w:rsid w:val="007577D6"/>
    <w:rsid w:val="00764085"/>
    <w:rsid w:val="00767C26"/>
    <w:rsid w:val="00780F82"/>
    <w:rsid w:val="00786FAD"/>
    <w:rsid w:val="00795EB0"/>
    <w:rsid w:val="007A2308"/>
    <w:rsid w:val="007A5113"/>
    <w:rsid w:val="007B3579"/>
    <w:rsid w:val="007B7652"/>
    <w:rsid w:val="007B78FC"/>
    <w:rsid w:val="007C40CE"/>
    <w:rsid w:val="007D0A2D"/>
    <w:rsid w:val="007D1F09"/>
    <w:rsid w:val="007D2041"/>
    <w:rsid w:val="007E1D3C"/>
    <w:rsid w:val="007E4AFF"/>
    <w:rsid w:val="007F1E97"/>
    <w:rsid w:val="007F73BA"/>
    <w:rsid w:val="0080554D"/>
    <w:rsid w:val="00807BE9"/>
    <w:rsid w:val="00810330"/>
    <w:rsid w:val="00812A2E"/>
    <w:rsid w:val="00814830"/>
    <w:rsid w:val="008153A1"/>
    <w:rsid w:val="00817998"/>
    <w:rsid w:val="00824E9D"/>
    <w:rsid w:val="008266A2"/>
    <w:rsid w:val="00832528"/>
    <w:rsid w:val="00832CD2"/>
    <w:rsid w:val="008349DE"/>
    <w:rsid w:val="00835F5C"/>
    <w:rsid w:val="008407FA"/>
    <w:rsid w:val="0084793B"/>
    <w:rsid w:val="00857C8E"/>
    <w:rsid w:val="00862611"/>
    <w:rsid w:val="008720E6"/>
    <w:rsid w:val="0087691C"/>
    <w:rsid w:val="00880C90"/>
    <w:rsid w:val="00883537"/>
    <w:rsid w:val="00885A2F"/>
    <w:rsid w:val="00894337"/>
    <w:rsid w:val="008A2959"/>
    <w:rsid w:val="008A2A3B"/>
    <w:rsid w:val="008A6177"/>
    <w:rsid w:val="008B09A8"/>
    <w:rsid w:val="008B39E1"/>
    <w:rsid w:val="008B4DCD"/>
    <w:rsid w:val="008C1667"/>
    <w:rsid w:val="008C2DC5"/>
    <w:rsid w:val="008C69F9"/>
    <w:rsid w:val="008D56D9"/>
    <w:rsid w:val="008E328C"/>
    <w:rsid w:val="008E6D0F"/>
    <w:rsid w:val="008F4C35"/>
    <w:rsid w:val="008F554D"/>
    <w:rsid w:val="009037F0"/>
    <w:rsid w:val="009148E4"/>
    <w:rsid w:val="009164EB"/>
    <w:rsid w:val="00931814"/>
    <w:rsid w:val="00942719"/>
    <w:rsid w:val="00952977"/>
    <w:rsid w:val="0096471D"/>
    <w:rsid w:val="00983DCB"/>
    <w:rsid w:val="00984A8D"/>
    <w:rsid w:val="009912C3"/>
    <w:rsid w:val="009A4491"/>
    <w:rsid w:val="009B2456"/>
    <w:rsid w:val="009C625D"/>
    <w:rsid w:val="009D3385"/>
    <w:rsid w:val="009D482E"/>
    <w:rsid w:val="009F13CB"/>
    <w:rsid w:val="009F65FA"/>
    <w:rsid w:val="009F7B84"/>
    <w:rsid w:val="00A00DEB"/>
    <w:rsid w:val="00A062C8"/>
    <w:rsid w:val="00A06564"/>
    <w:rsid w:val="00A065CD"/>
    <w:rsid w:val="00A207AF"/>
    <w:rsid w:val="00A22435"/>
    <w:rsid w:val="00A27842"/>
    <w:rsid w:val="00A446A5"/>
    <w:rsid w:val="00A47E62"/>
    <w:rsid w:val="00A55E83"/>
    <w:rsid w:val="00A67F6C"/>
    <w:rsid w:val="00A76205"/>
    <w:rsid w:val="00A84F3A"/>
    <w:rsid w:val="00A859BC"/>
    <w:rsid w:val="00A85A74"/>
    <w:rsid w:val="00A9585C"/>
    <w:rsid w:val="00AA1621"/>
    <w:rsid w:val="00AA7508"/>
    <w:rsid w:val="00AC5BB8"/>
    <w:rsid w:val="00AD1D62"/>
    <w:rsid w:val="00AD76BE"/>
    <w:rsid w:val="00AE6126"/>
    <w:rsid w:val="00AF24BA"/>
    <w:rsid w:val="00B01999"/>
    <w:rsid w:val="00B139EC"/>
    <w:rsid w:val="00B157FD"/>
    <w:rsid w:val="00B15D0F"/>
    <w:rsid w:val="00B231A6"/>
    <w:rsid w:val="00B27483"/>
    <w:rsid w:val="00B376AB"/>
    <w:rsid w:val="00B60D48"/>
    <w:rsid w:val="00B620FA"/>
    <w:rsid w:val="00B652DB"/>
    <w:rsid w:val="00B7268E"/>
    <w:rsid w:val="00B81112"/>
    <w:rsid w:val="00B92A12"/>
    <w:rsid w:val="00BA2ED8"/>
    <w:rsid w:val="00BB2A90"/>
    <w:rsid w:val="00BC094C"/>
    <w:rsid w:val="00BD42CA"/>
    <w:rsid w:val="00BE7E40"/>
    <w:rsid w:val="00BF3CA8"/>
    <w:rsid w:val="00BF5406"/>
    <w:rsid w:val="00BF6FA1"/>
    <w:rsid w:val="00BF7943"/>
    <w:rsid w:val="00C01543"/>
    <w:rsid w:val="00C07873"/>
    <w:rsid w:val="00C112A6"/>
    <w:rsid w:val="00C15DA3"/>
    <w:rsid w:val="00C262D7"/>
    <w:rsid w:val="00C364CD"/>
    <w:rsid w:val="00C36C02"/>
    <w:rsid w:val="00C4788C"/>
    <w:rsid w:val="00C52382"/>
    <w:rsid w:val="00C65A66"/>
    <w:rsid w:val="00C74DF2"/>
    <w:rsid w:val="00C7713B"/>
    <w:rsid w:val="00C947E7"/>
    <w:rsid w:val="00CA0538"/>
    <w:rsid w:val="00CB3085"/>
    <w:rsid w:val="00CC6129"/>
    <w:rsid w:val="00CD2DFB"/>
    <w:rsid w:val="00CD345A"/>
    <w:rsid w:val="00CD7359"/>
    <w:rsid w:val="00CD7BB1"/>
    <w:rsid w:val="00CE3ACB"/>
    <w:rsid w:val="00CE6BCF"/>
    <w:rsid w:val="00CF367C"/>
    <w:rsid w:val="00CF5512"/>
    <w:rsid w:val="00CF6816"/>
    <w:rsid w:val="00D06B0C"/>
    <w:rsid w:val="00D0773C"/>
    <w:rsid w:val="00D15AEF"/>
    <w:rsid w:val="00D2233C"/>
    <w:rsid w:val="00D23830"/>
    <w:rsid w:val="00D310D3"/>
    <w:rsid w:val="00D3343C"/>
    <w:rsid w:val="00D404FA"/>
    <w:rsid w:val="00D421D0"/>
    <w:rsid w:val="00D510A6"/>
    <w:rsid w:val="00D53CF9"/>
    <w:rsid w:val="00D56478"/>
    <w:rsid w:val="00D60E6E"/>
    <w:rsid w:val="00D63C65"/>
    <w:rsid w:val="00D64413"/>
    <w:rsid w:val="00D6494F"/>
    <w:rsid w:val="00D671B0"/>
    <w:rsid w:val="00D93758"/>
    <w:rsid w:val="00D967F0"/>
    <w:rsid w:val="00DA446B"/>
    <w:rsid w:val="00DB1978"/>
    <w:rsid w:val="00DC4595"/>
    <w:rsid w:val="00DD241D"/>
    <w:rsid w:val="00DD38B2"/>
    <w:rsid w:val="00E0186B"/>
    <w:rsid w:val="00E01902"/>
    <w:rsid w:val="00E07CBD"/>
    <w:rsid w:val="00E10A0A"/>
    <w:rsid w:val="00E24E49"/>
    <w:rsid w:val="00E26A5C"/>
    <w:rsid w:val="00E27FEB"/>
    <w:rsid w:val="00E30575"/>
    <w:rsid w:val="00E33CE7"/>
    <w:rsid w:val="00E4581B"/>
    <w:rsid w:val="00E4642E"/>
    <w:rsid w:val="00E528B7"/>
    <w:rsid w:val="00E52CF6"/>
    <w:rsid w:val="00E54B8D"/>
    <w:rsid w:val="00E607AC"/>
    <w:rsid w:val="00E60DB9"/>
    <w:rsid w:val="00E6198A"/>
    <w:rsid w:val="00E675A2"/>
    <w:rsid w:val="00E81FFB"/>
    <w:rsid w:val="00E82F37"/>
    <w:rsid w:val="00E912AC"/>
    <w:rsid w:val="00E973E0"/>
    <w:rsid w:val="00EA2EE6"/>
    <w:rsid w:val="00EA3844"/>
    <w:rsid w:val="00EA5012"/>
    <w:rsid w:val="00EB0A82"/>
    <w:rsid w:val="00EC08E2"/>
    <w:rsid w:val="00EC13DF"/>
    <w:rsid w:val="00EE50CD"/>
    <w:rsid w:val="00EF2CF6"/>
    <w:rsid w:val="00F01BBB"/>
    <w:rsid w:val="00F03734"/>
    <w:rsid w:val="00F04084"/>
    <w:rsid w:val="00F06D3C"/>
    <w:rsid w:val="00F117A6"/>
    <w:rsid w:val="00F13F36"/>
    <w:rsid w:val="00F15A40"/>
    <w:rsid w:val="00F176FA"/>
    <w:rsid w:val="00F20011"/>
    <w:rsid w:val="00F272F9"/>
    <w:rsid w:val="00F437A6"/>
    <w:rsid w:val="00F63B76"/>
    <w:rsid w:val="00F714A8"/>
    <w:rsid w:val="00F8775F"/>
    <w:rsid w:val="00F905C3"/>
    <w:rsid w:val="00FB0E87"/>
    <w:rsid w:val="00FC0370"/>
    <w:rsid w:val="00FC788A"/>
    <w:rsid w:val="00FD3413"/>
    <w:rsid w:val="00FD690B"/>
    <w:rsid w:val="00FF2738"/>
    <w:rsid w:val="00FF7A1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434676"/>
  <w15:docId w15:val="{F55F4594-9272-4D06-95D5-4334B6F14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15734"/>
    <w:pPr>
      <w:jc w:val="both"/>
    </w:pPr>
  </w:style>
  <w:style w:type="paragraph" w:styleId="Heading1">
    <w:name w:val="heading 1"/>
    <w:basedOn w:val="Normal"/>
    <w:next w:val="Normal"/>
    <w:link w:val="Heading1Char"/>
    <w:uiPriority w:val="9"/>
    <w:qFormat/>
    <w:rsid w:val="00A85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85A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F794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5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85A7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F7943"/>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semiHidden/>
    <w:unhideWhenUsed/>
    <w:rsid w:val="00B726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268E"/>
    <w:rPr>
      <w:sz w:val="20"/>
      <w:szCs w:val="20"/>
    </w:rPr>
  </w:style>
  <w:style w:type="character" w:styleId="FootnoteReference">
    <w:name w:val="footnote reference"/>
    <w:basedOn w:val="DefaultParagraphFont"/>
    <w:uiPriority w:val="99"/>
    <w:semiHidden/>
    <w:unhideWhenUsed/>
    <w:rsid w:val="00B7268E"/>
    <w:rPr>
      <w:vertAlign w:val="superscript"/>
    </w:rPr>
  </w:style>
  <w:style w:type="character" w:styleId="Hyperlink">
    <w:name w:val="Hyperlink"/>
    <w:basedOn w:val="DefaultParagraphFont"/>
    <w:uiPriority w:val="99"/>
    <w:unhideWhenUsed/>
    <w:rsid w:val="00C112A6"/>
    <w:rPr>
      <w:color w:val="0000FF"/>
      <w:u w:val="single"/>
    </w:rPr>
  </w:style>
  <w:style w:type="character" w:styleId="CommentReference">
    <w:name w:val="annotation reference"/>
    <w:basedOn w:val="DefaultParagraphFont"/>
    <w:uiPriority w:val="99"/>
    <w:semiHidden/>
    <w:unhideWhenUsed/>
    <w:rsid w:val="00E26A5C"/>
    <w:rPr>
      <w:sz w:val="16"/>
      <w:szCs w:val="16"/>
    </w:rPr>
  </w:style>
  <w:style w:type="paragraph" w:styleId="CommentText">
    <w:name w:val="annotation text"/>
    <w:basedOn w:val="Normal"/>
    <w:link w:val="CommentTextChar"/>
    <w:uiPriority w:val="99"/>
    <w:semiHidden/>
    <w:unhideWhenUsed/>
    <w:rsid w:val="00E26A5C"/>
    <w:pPr>
      <w:spacing w:line="240" w:lineRule="auto"/>
    </w:pPr>
    <w:rPr>
      <w:sz w:val="20"/>
      <w:szCs w:val="20"/>
    </w:rPr>
  </w:style>
  <w:style w:type="character" w:customStyle="1" w:styleId="CommentTextChar">
    <w:name w:val="Comment Text Char"/>
    <w:basedOn w:val="DefaultParagraphFont"/>
    <w:link w:val="CommentText"/>
    <w:uiPriority w:val="99"/>
    <w:semiHidden/>
    <w:rsid w:val="00E26A5C"/>
    <w:rPr>
      <w:sz w:val="20"/>
      <w:szCs w:val="20"/>
    </w:rPr>
  </w:style>
  <w:style w:type="paragraph" w:styleId="CommentSubject">
    <w:name w:val="annotation subject"/>
    <w:basedOn w:val="CommentText"/>
    <w:next w:val="CommentText"/>
    <w:link w:val="CommentSubjectChar"/>
    <w:uiPriority w:val="99"/>
    <w:semiHidden/>
    <w:unhideWhenUsed/>
    <w:rsid w:val="00E26A5C"/>
    <w:rPr>
      <w:b/>
      <w:bCs/>
    </w:rPr>
  </w:style>
  <w:style w:type="character" w:customStyle="1" w:styleId="CommentSubjectChar">
    <w:name w:val="Comment Subject Char"/>
    <w:basedOn w:val="CommentTextChar"/>
    <w:link w:val="CommentSubject"/>
    <w:uiPriority w:val="99"/>
    <w:semiHidden/>
    <w:rsid w:val="00E26A5C"/>
    <w:rPr>
      <w:b/>
      <w:bCs/>
      <w:sz w:val="20"/>
      <w:szCs w:val="20"/>
    </w:rPr>
  </w:style>
  <w:style w:type="paragraph" w:styleId="Revision">
    <w:name w:val="Revision"/>
    <w:hidden/>
    <w:uiPriority w:val="99"/>
    <w:semiHidden/>
    <w:rsid w:val="00E26A5C"/>
    <w:pPr>
      <w:spacing w:after="0" w:line="240" w:lineRule="auto"/>
    </w:pPr>
  </w:style>
  <w:style w:type="paragraph" w:styleId="BalloonText">
    <w:name w:val="Balloon Text"/>
    <w:basedOn w:val="Normal"/>
    <w:link w:val="BalloonTextChar"/>
    <w:uiPriority w:val="99"/>
    <w:semiHidden/>
    <w:unhideWhenUsed/>
    <w:rsid w:val="00E26A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A5C"/>
    <w:rPr>
      <w:rFonts w:ascii="Segoe UI" w:hAnsi="Segoe UI" w:cs="Segoe UI"/>
      <w:sz w:val="18"/>
      <w:szCs w:val="18"/>
    </w:rPr>
  </w:style>
  <w:style w:type="paragraph" w:styleId="Header">
    <w:name w:val="header"/>
    <w:basedOn w:val="Normal"/>
    <w:link w:val="HeaderChar"/>
    <w:uiPriority w:val="99"/>
    <w:unhideWhenUsed/>
    <w:rsid w:val="00A55E83"/>
    <w:pPr>
      <w:tabs>
        <w:tab w:val="center" w:pos="4536"/>
        <w:tab w:val="right" w:pos="9072"/>
      </w:tabs>
      <w:spacing w:after="0" w:line="240" w:lineRule="auto"/>
    </w:pPr>
  </w:style>
  <w:style w:type="character" w:customStyle="1" w:styleId="HeaderChar">
    <w:name w:val="Header Char"/>
    <w:basedOn w:val="DefaultParagraphFont"/>
    <w:link w:val="Header"/>
    <w:uiPriority w:val="99"/>
    <w:rsid w:val="00A55E83"/>
  </w:style>
  <w:style w:type="paragraph" w:styleId="Footer">
    <w:name w:val="footer"/>
    <w:basedOn w:val="Normal"/>
    <w:link w:val="FooterChar"/>
    <w:uiPriority w:val="99"/>
    <w:unhideWhenUsed/>
    <w:rsid w:val="00A55E83"/>
    <w:pPr>
      <w:tabs>
        <w:tab w:val="center" w:pos="4536"/>
        <w:tab w:val="right" w:pos="9072"/>
      </w:tabs>
      <w:spacing w:after="0" w:line="240" w:lineRule="auto"/>
    </w:pPr>
  </w:style>
  <w:style w:type="character" w:customStyle="1" w:styleId="FooterChar">
    <w:name w:val="Footer Char"/>
    <w:basedOn w:val="DefaultParagraphFont"/>
    <w:link w:val="Footer"/>
    <w:uiPriority w:val="99"/>
    <w:rsid w:val="00A55E83"/>
  </w:style>
  <w:style w:type="paragraph" w:styleId="NoSpacing">
    <w:name w:val="No Spacing"/>
    <w:link w:val="NoSpacingChar"/>
    <w:uiPriority w:val="1"/>
    <w:qFormat/>
    <w:rsid w:val="00E10A0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10A0A"/>
    <w:rPr>
      <w:rFonts w:eastAsiaTheme="minorEastAsia"/>
      <w:lang w:val="en-US"/>
    </w:rPr>
  </w:style>
  <w:style w:type="paragraph" w:customStyle="1" w:styleId="Telo">
    <w:name w:val="Telo"/>
    <w:rsid w:val="00210BCF"/>
    <w:pPr>
      <w:pBdr>
        <w:top w:val="nil"/>
        <w:left w:val="nil"/>
        <w:bottom w:val="nil"/>
        <w:right w:val="nil"/>
        <w:between w:val="nil"/>
        <w:bar w:val="nil"/>
      </w:pBdr>
      <w:jc w:val="both"/>
    </w:pPr>
    <w:rPr>
      <w:rFonts w:ascii="Calibri" w:eastAsia="Calibri" w:hAnsi="Calibri" w:cs="Calibri"/>
      <w:color w:val="000000"/>
      <w:u w:color="000000"/>
      <w:bdr w:val="nil"/>
      <w:lang w:val="sk-SK" w:eastAsia="sk-SK"/>
    </w:rPr>
  </w:style>
  <w:style w:type="paragraph" w:customStyle="1" w:styleId="Paragraphe">
    <w:name w:val="Paragraphe"/>
    <w:qFormat/>
    <w:rsid w:val="00210BCF"/>
    <w:pPr>
      <w:spacing w:after="240"/>
      <w:jc w:val="both"/>
    </w:pPr>
    <w:rPr>
      <w:rFonts w:ascii="Times New Roman" w:eastAsia="Times New Roman" w:hAnsi="Times New Roman" w:cs="Times New Roman"/>
      <w:color w:val="404040"/>
      <w:u w:color="404040"/>
      <w:lang w:val="en-US" w:eastAsia="sk-SK"/>
    </w:rPr>
  </w:style>
  <w:style w:type="paragraph" w:customStyle="1" w:styleId="Nadpis">
    <w:name w:val="Nadpis"/>
    <w:next w:val="Telo"/>
    <w:rsid w:val="00210BCF"/>
    <w:pPr>
      <w:keepNext/>
      <w:keepLines/>
      <w:pBdr>
        <w:top w:val="nil"/>
        <w:left w:val="nil"/>
        <w:bottom w:val="nil"/>
        <w:right w:val="nil"/>
        <w:between w:val="nil"/>
        <w:bar w:val="nil"/>
      </w:pBdr>
      <w:spacing w:before="480" w:after="0"/>
      <w:jc w:val="both"/>
      <w:outlineLvl w:val="0"/>
    </w:pPr>
    <w:rPr>
      <w:rFonts w:ascii="Cambria" w:eastAsia="Cambria" w:hAnsi="Cambria" w:cs="Cambria"/>
      <w:b/>
      <w:bCs/>
      <w:color w:val="365F91"/>
      <w:sz w:val="28"/>
      <w:szCs w:val="28"/>
      <w:u w:color="365F91"/>
      <w:bdr w:val="nil"/>
      <w:lang w:val="fr-FR" w:eastAsia="sk-SK"/>
    </w:rPr>
  </w:style>
  <w:style w:type="character" w:styleId="Mention">
    <w:name w:val="Mention"/>
    <w:basedOn w:val="DefaultParagraphFont"/>
    <w:uiPriority w:val="99"/>
    <w:semiHidden/>
    <w:unhideWhenUsed/>
    <w:rsid w:val="00B139E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210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facebook.com/easpdbrux" TargetMode="External"/><Relationship Id="rId18"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aspd.eu" TargetMode="External"/><Relationship Id="rId17" Type="http://schemas.openxmlformats.org/officeDocument/2006/relationships/hyperlink" Target="https://twitter.com/EASPD_Brussels" TargetMode="External"/><Relationship Id="rId2" Type="http://schemas.openxmlformats.org/officeDocument/2006/relationships/customXml" Target="../customXml/item2.xml"/><Relationship Id="rId16" Type="http://schemas.openxmlformats.org/officeDocument/2006/relationships/hyperlink" Target="https://www.facebook.com/easpdbru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easpd.eu"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s://twitter.com/EASPD_Brussel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nfoservice.sozialministerium.at/InfoService2/;jsessionid=25570D006EE50AF3C9306EE99EED8215;jsessionid=85EA58ABB03B5FA0CE052D2E7A18A7C1?execution=e1s16" TargetMode="External"/><Relationship Id="rId1" Type="http://schemas.openxmlformats.org/officeDocument/2006/relationships/hyperlink" Target="http://www.behinderung-vorarlberg.at/Seiten/ZuschusszumPflegegeldbeiambulanterPflege.asp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056350E-EB5B-4A51-B0D9-91AF8D4E5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2122</Words>
  <Characters>12100</Characters>
  <Application>Microsoft Office Word</Application>
  <DocSecurity>4</DocSecurity>
  <Lines>100</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Karl-Franzens-Universität Graz</Company>
  <LinksUpToDate>false</LinksUpToDate>
  <CharactersWithSpaces>14194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Fischer, Gregor (gregor.fischer@uni-graz.at)</dc:creator>
  <cp:keywords/>
  <dc:description/>
  <cp:lastModifiedBy>Asel Kadyrbaeva [EASPD]</cp:lastModifiedBy>
  <cp:revision>2</cp:revision>
  <dcterms:created xsi:type="dcterms:W3CDTF">2017-09-26T13:30:00Z</dcterms:created>
  <dcterms:modified xsi:type="dcterms:W3CDTF">2017-09-26T13:30:00Z</dcterms:modified>
</cp:coreProperties>
</file>